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E6CB3" w14:textId="77777777" w:rsidR="002F0F98" w:rsidRPr="00721CB9" w:rsidRDefault="002F0F98" w:rsidP="0000172F">
      <w:pPr>
        <w:spacing w:after="120"/>
        <w:ind w:right="-28"/>
        <w:rPr>
          <w:rFonts w:ascii="Arial" w:hAnsi="Arial" w:cs="Arial"/>
          <w:b/>
          <w:caps/>
          <w:sz w:val="28"/>
          <w:szCs w:val="28"/>
          <w:lang w:val="en-US"/>
        </w:rPr>
      </w:pPr>
      <w:r w:rsidRPr="00721CB9">
        <w:rPr>
          <w:rFonts w:ascii="Arial" w:hAnsi="Arial" w:cs="Arial"/>
          <w:b/>
          <w:caps/>
          <w:sz w:val="28"/>
          <w:szCs w:val="28"/>
          <w:lang w:val="en-US"/>
        </w:rPr>
        <w:t>Press</w:t>
      </w:r>
      <w:r w:rsidR="0099349B" w:rsidRPr="00721CB9">
        <w:rPr>
          <w:rFonts w:ascii="Arial" w:hAnsi="Arial" w:cs="Arial"/>
          <w:b/>
          <w:caps/>
          <w:sz w:val="28"/>
          <w:szCs w:val="28"/>
          <w:lang w:val="en-US"/>
        </w:rPr>
        <w:t xml:space="preserve"> RELEASE</w:t>
      </w:r>
    </w:p>
    <w:p w14:paraId="3D4CB817" w14:textId="77777777" w:rsidR="00394632" w:rsidRPr="00721CB9" w:rsidRDefault="0099349B" w:rsidP="00B97E44">
      <w:pPr>
        <w:widowControl w:val="0"/>
        <w:autoSpaceDE w:val="0"/>
        <w:autoSpaceDN w:val="0"/>
        <w:adjustRightInd w:val="0"/>
        <w:spacing w:after="120"/>
        <w:ind w:right="-1731"/>
        <w:rPr>
          <w:rFonts w:ascii="Arial" w:hAnsi="Arial" w:cs="Arial"/>
          <w:b/>
          <w:bCs/>
          <w:sz w:val="32"/>
          <w:szCs w:val="32"/>
          <w:lang w:val="en-US"/>
        </w:rPr>
      </w:pPr>
      <w:r w:rsidRPr="00721CB9">
        <w:rPr>
          <w:rFonts w:ascii="Arial" w:hAnsi="Arial" w:cs="Arial"/>
          <w:b/>
          <w:bCs/>
          <w:sz w:val="32"/>
          <w:szCs w:val="32"/>
          <w:lang w:val="en-US"/>
        </w:rPr>
        <w:t xml:space="preserve">New </w:t>
      </w:r>
      <w:r w:rsidR="0060138B" w:rsidRPr="00721CB9">
        <w:rPr>
          <w:rFonts w:ascii="Arial" w:hAnsi="Arial" w:cs="Arial"/>
          <w:b/>
          <w:bCs/>
          <w:sz w:val="32"/>
          <w:szCs w:val="32"/>
          <w:lang w:val="en-US"/>
        </w:rPr>
        <w:t>leasing business up</w:t>
      </w:r>
      <w:r w:rsidRPr="00721CB9">
        <w:rPr>
          <w:rFonts w:ascii="Arial" w:hAnsi="Arial" w:cs="Arial"/>
          <w:b/>
          <w:bCs/>
          <w:sz w:val="32"/>
          <w:szCs w:val="32"/>
          <w:lang w:val="en-US"/>
        </w:rPr>
        <w:t xml:space="preserve"> 9 percent</w:t>
      </w:r>
      <w:r w:rsidR="00CE36B2" w:rsidRPr="00721CB9">
        <w:rPr>
          <w:rFonts w:ascii="Arial" w:hAnsi="Arial" w:cs="Arial"/>
          <w:b/>
          <w:bCs/>
          <w:sz w:val="32"/>
          <w:szCs w:val="32"/>
          <w:lang w:val="en-US"/>
        </w:rPr>
        <w:t xml:space="preserve"> </w:t>
      </w:r>
    </w:p>
    <w:p w14:paraId="433F1283" w14:textId="77777777" w:rsidR="00C71B67" w:rsidRPr="00721CB9" w:rsidRDefault="0099349B" w:rsidP="003B3308">
      <w:pPr>
        <w:widowControl w:val="0"/>
        <w:autoSpaceDE w:val="0"/>
        <w:autoSpaceDN w:val="0"/>
        <w:adjustRightInd w:val="0"/>
        <w:spacing w:after="120"/>
        <w:ind w:right="-879"/>
        <w:rPr>
          <w:rFonts w:ascii="Arial" w:hAnsi="Arial" w:cs="Arial"/>
          <w:b/>
          <w:bCs/>
          <w:sz w:val="22"/>
          <w:szCs w:val="22"/>
          <w:lang w:val="en-US"/>
        </w:rPr>
      </w:pPr>
      <w:r w:rsidRPr="00721CB9">
        <w:rPr>
          <w:rFonts w:ascii="ArialMT" w:hAnsi="ArialMT" w:cs="ArialMT"/>
          <w:b/>
          <w:bCs/>
          <w:szCs w:val="24"/>
          <w:lang w:val="en-US"/>
        </w:rPr>
        <w:t xml:space="preserve">The sector </w:t>
      </w:r>
      <w:r w:rsidR="00CD565E" w:rsidRPr="00721CB9">
        <w:rPr>
          <w:rFonts w:ascii="ArialMT" w:hAnsi="ArialMT" w:cs="ArialMT"/>
          <w:b/>
          <w:bCs/>
          <w:szCs w:val="24"/>
          <w:lang w:val="en-US"/>
        </w:rPr>
        <w:t xml:space="preserve">has </w:t>
      </w:r>
      <w:r w:rsidR="0060138B" w:rsidRPr="00721CB9">
        <w:rPr>
          <w:rFonts w:ascii="ArialMT" w:hAnsi="ArialMT" w:cs="ArialMT"/>
          <w:b/>
          <w:bCs/>
          <w:szCs w:val="24"/>
          <w:lang w:val="en-US"/>
        </w:rPr>
        <w:t xml:space="preserve">this year </w:t>
      </w:r>
      <w:r w:rsidR="00CD565E" w:rsidRPr="00721CB9">
        <w:rPr>
          <w:rFonts w:ascii="ArialMT" w:hAnsi="ArialMT" w:cs="ArialMT"/>
          <w:b/>
          <w:bCs/>
          <w:szCs w:val="24"/>
          <w:lang w:val="en-US"/>
        </w:rPr>
        <w:t xml:space="preserve">facilitated investments of 74.4 billion euro and continues to </w:t>
      </w:r>
      <w:r w:rsidR="0060138B" w:rsidRPr="00721CB9">
        <w:rPr>
          <w:rFonts w:ascii="ArialMT" w:hAnsi="ArialMT" w:cs="ArialMT"/>
          <w:b/>
          <w:bCs/>
          <w:szCs w:val="24"/>
          <w:lang w:val="en-US"/>
        </w:rPr>
        <w:t>score highly for</w:t>
      </w:r>
      <w:r w:rsidR="00CD565E" w:rsidRPr="00721CB9">
        <w:rPr>
          <w:rFonts w:ascii="ArialMT" w:hAnsi="ArialMT" w:cs="ArialMT"/>
          <w:b/>
          <w:bCs/>
          <w:szCs w:val="24"/>
          <w:lang w:val="en-US"/>
        </w:rPr>
        <w:t xml:space="preserve"> the quality of its advisory support and expertise </w:t>
      </w:r>
      <w:r w:rsidR="00503844" w:rsidRPr="00721CB9">
        <w:rPr>
          <w:rFonts w:ascii="ArialMT" w:hAnsi="ArialMT" w:cs="ArialMT"/>
          <w:b/>
          <w:bCs/>
          <w:szCs w:val="24"/>
          <w:lang w:val="en-US"/>
        </w:rPr>
        <w:t xml:space="preserve">| </w:t>
      </w:r>
      <w:r w:rsidR="00CD565E" w:rsidRPr="00721CB9">
        <w:rPr>
          <w:rFonts w:ascii="ArialMT" w:hAnsi="ArialMT" w:cs="ArialMT"/>
          <w:b/>
          <w:bCs/>
          <w:szCs w:val="24"/>
          <w:lang w:val="en-US"/>
        </w:rPr>
        <w:t xml:space="preserve">Leasing </w:t>
      </w:r>
      <w:r w:rsidR="0060138B" w:rsidRPr="00721CB9">
        <w:rPr>
          <w:rFonts w:ascii="ArialMT" w:hAnsi="ArialMT" w:cs="ArialMT"/>
          <w:b/>
          <w:bCs/>
          <w:szCs w:val="24"/>
          <w:lang w:val="en-US"/>
        </w:rPr>
        <w:t>companies support</w:t>
      </w:r>
      <w:r w:rsidR="00CD565E" w:rsidRPr="00721CB9">
        <w:rPr>
          <w:rFonts w:ascii="ArialMT" w:hAnsi="ArialMT" w:cs="ArialMT"/>
          <w:b/>
          <w:bCs/>
          <w:szCs w:val="24"/>
          <w:lang w:val="en-US"/>
        </w:rPr>
        <w:t xml:space="preserve"> green investment</w:t>
      </w:r>
    </w:p>
    <w:p w14:paraId="65B6025B" w14:textId="77777777" w:rsidR="008E38BD" w:rsidRPr="00721CB9" w:rsidRDefault="000F2B99" w:rsidP="008E38BD">
      <w:pPr>
        <w:widowControl w:val="0"/>
        <w:autoSpaceDE w:val="0"/>
        <w:autoSpaceDN w:val="0"/>
        <w:adjustRightInd w:val="0"/>
        <w:spacing w:after="120"/>
        <w:ind w:right="-172"/>
        <w:rPr>
          <w:rFonts w:ascii="Arial" w:hAnsi="Arial" w:cs="Arial"/>
          <w:b/>
          <w:bCs/>
          <w:sz w:val="22"/>
          <w:szCs w:val="22"/>
          <w:lang w:val="en-US"/>
        </w:rPr>
      </w:pPr>
      <w:r w:rsidRPr="00721CB9">
        <w:rPr>
          <w:rFonts w:ascii="Arial" w:hAnsi="Arial" w:cs="Arial"/>
          <w:b/>
          <w:bCs/>
          <w:sz w:val="22"/>
          <w:szCs w:val="22"/>
          <w:lang w:val="en-US"/>
        </w:rPr>
        <w:t>Berlin</w:t>
      </w:r>
      <w:r w:rsidR="001F2B52" w:rsidRPr="00721CB9">
        <w:rPr>
          <w:rFonts w:ascii="Arial" w:hAnsi="Arial" w:cs="Arial"/>
          <w:b/>
          <w:bCs/>
          <w:sz w:val="22"/>
          <w:szCs w:val="22"/>
          <w:lang w:val="en-US"/>
        </w:rPr>
        <w:t xml:space="preserve">, </w:t>
      </w:r>
      <w:r w:rsidRPr="00721CB9">
        <w:rPr>
          <w:rFonts w:ascii="Arial" w:hAnsi="Arial" w:cs="Arial"/>
          <w:b/>
          <w:bCs/>
          <w:sz w:val="22"/>
          <w:szCs w:val="22"/>
          <w:lang w:val="en-US"/>
        </w:rPr>
        <w:t>4</w:t>
      </w:r>
      <w:r w:rsidR="00CD565E" w:rsidRPr="00721CB9">
        <w:rPr>
          <w:rFonts w:ascii="Arial" w:hAnsi="Arial" w:cs="Arial"/>
          <w:b/>
          <w:bCs/>
          <w:sz w:val="22"/>
          <w:szCs w:val="22"/>
          <w:lang w:val="en-US"/>
        </w:rPr>
        <w:t>th Dec</w:t>
      </w:r>
      <w:r w:rsidRPr="00721CB9">
        <w:rPr>
          <w:rFonts w:ascii="Arial" w:hAnsi="Arial" w:cs="Arial"/>
          <w:b/>
          <w:bCs/>
          <w:sz w:val="22"/>
          <w:szCs w:val="22"/>
          <w:lang w:val="en-US"/>
        </w:rPr>
        <w:t>ember 2019</w:t>
      </w:r>
      <w:r w:rsidR="001F2B52" w:rsidRPr="00721CB9">
        <w:rPr>
          <w:rFonts w:ascii="Arial" w:hAnsi="Arial" w:cs="Arial"/>
          <w:b/>
          <w:bCs/>
          <w:sz w:val="22"/>
          <w:szCs w:val="22"/>
          <w:lang w:val="en-US"/>
        </w:rPr>
        <w:t xml:space="preserve"> –</w:t>
      </w:r>
      <w:r w:rsidR="0007329E" w:rsidRPr="00721CB9">
        <w:rPr>
          <w:rFonts w:ascii="Arial" w:hAnsi="Arial" w:cs="Arial"/>
          <w:b/>
          <w:bCs/>
          <w:sz w:val="22"/>
          <w:szCs w:val="22"/>
          <w:lang w:val="en-US"/>
        </w:rPr>
        <w:t xml:space="preserve"> </w:t>
      </w:r>
      <w:r w:rsidR="00CD565E" w:rsidRPr="00721CB9">
        <w:rPr>
          <w:rFonts w:ascii="Arial" w:hAnsi="Arial" w:cs="Arial"/>
          <w:b/>
          <w:bCs/>
          <w:sz w:val="22"/>
          <w:szCs w:val="22"/>
          <w:lang w:val="en-US"/>
        </w:rPr>
        <w:t>In 2019, the leasing market saw much stronger growth</w:t>
      </w:r>
      <w:r w:rsidR="00452333" w:rsidRPr="00721CB9">
        <w:rPr>
          <w:rFonts w:ascii="Arial" w:hAnsi="Arial" w:cs="Arial"/>
          <w:b/>
          <w:bCs/>
          <w:sz w:val="22"/>
          <w:szCs w:val="22"/>
          <w:lang w:val="en-US"/>
        </w:rPr>
        <w:t xml:space="preserve"> than the German economy as a whole, with new business up by 9 percent. Leasing companies in Germany realized investments to the tune of 74.4 billion euro in real estate, machin</w:t>
      </w:r>
      <w:r w:rsidR="000B716E" w:rsidRPr="00721CB9">
        <w:rPr>
          <w:rFonts w:ascii="Arial" w:hAnsi="Arial" w:cs="Arial"/>
          <w:b/>
          <w:bCs/>
          <w:sz w:val="22"/>
          <w:szCs w:val="22"/>
          <w:lang w:val="en-US"/>
        </w:rPr>
        <w:t xml:space="preserve">ery, </w:t>
      </w:r>
      <w:r w:rsidR="00452333" w:rsidRPr="00721CB9">
        <w:rPr>
          <w:rFonts w:ascii="Arial" w:hAnsi="Arial" w:cs="Arial"/>
          <w:b/>
          <w:bCs/>
          <w:sz w:val="22"/>
          <w:szCs w:val="22"/>
          <w:lang w:val="en-US"/>
        </w:rPr>
        <w:t>vehicles</w:t>
      </w:r>
      <w:r w:rsidR="00E95E86" w:rsidRPr="00721CB9">
        <w:rPr>
          <w:rFonts w:ascii="Arial" w:hAnsi="Arial" w:cs="Arial"/>
          <w:b/>
          <w:bCs/>
          <w:sz w:val="22"/>
          <w:szCs w:val="22"/>
          <w:lang w:val="en-US"/>
        </w:rPr>
        <w:t>, IT</w:t>
      </w:r>
      <w:r w:rsidR="00452333" w:rsidRPr="00721CB9">
        <w:rPr>
          <w:rFonts w:ascii="Arial" w:hAnsi="Arial" w:cs="Arial"/>
          <w:b/>
          <w:bCs/>
          <w:sz w:val="22"/>
          <w:szCs w:val="22"/>
          <w:lang w:val="en-US"/>
        </w:rPr>
        <w:t xml:space="preserve"> equipment and other assets. </w:t>
      </w:r>
      <w:r w:rsidR="005F3A1B" w:rsidRPr="00721CB9">
        <w:rPr>
          <w:rFonts w:ascii="Arial" w:hAnsi="Arial" w:cs="Arial"/>
          <w:b/>
          <w:bCs/>
          <w:sz w:val="22"/>
          <w:szCs w:val="22"/>
          <w:lang w:val="en-US"/>
        </w:rPr>
        <w:t>12 percent o</w:t>
      </w:r>
      <w:r w:rsidR="00452333" w:rsidRPr="00721CB9">
        <w:rPr>
          <w:rFonts w:ascii="Arial" w:hAnsi="Arial" w:cs="Arial"/>
          <w:b/>
          <w:bCs/>
          <w:sz w:val="22"/>
          <w:szCs w:val="22"/>
          <w:lang w:val="en-US"/>
        </w:rPr>
        <w:t>f this fig</w:t>
      </w:r>
      <w:r w:rsidR="005F3A1B" w:rsidRPr="00721CB9">
        <w:rPr>
          <w:rFonts w:ascii="Arial" w:hAnsi="Arial" w:cs="Arial"/>
          <w:b/>
          <w:bCs/>
          <w:sz w:val="22"/>
          <w:szCs w:val="22"/>
          <w:lang w:val="en-US"/>
        </w:rPr>
        <w:t>ure (</w:t>
      </w:r>
      <w:r w:rsidR="00452333" w:rsidRPr="00721CB9">
        <w:rPr>
          <w:rFonts w:ascii="Arial" w:hAnsi="Arial" w:cs="Arial"/>
          <w:b/>
          <w:bCs/>
          <w:sz w:val="22"/>
          <w:szCs w:val="22"/>
          <w:lang w:val="en-US"/>
        </w:rPr>
        <w:t>9.1 billion euro</w:t>
      </w:r>
      <w:r w:rsidR="005F3A1B" w:rsidRPr="00721CB9">
        <w:rPr>
          <w:rFonts w:ascii="Arial" w:hAnsi="Arial" w:cs="Arial"/>
          <w:b/>
          <w:bCs/>
          <w:sz w:val="22"/>
          <w:szCs w:val="22"/>
          <w:lang w:val="en-US"/>
        </w:rPr>
        <w:t>)</w:t>
      </w:r>
      <w:r w:rsidR="00452333" w:rsidRPr="00721CB9">
        <w:rPr>
          <w:rFonts w:ascii="Arial" w:hAnsi="Arial" w:cs="Arial"/>
          <w:b/>
          <w:bCs/>
          <w:sz w:val="22"/>
          <w:szCs w:val="22"/>
          <w:lang w:val="en-US"/>
        </w:rPr>
        <w:t xml:space="preserve"> was achieved through hire purchase. </w:t>
      </w:r>
      <w:r w:rsidR="00C104D4" w:rsidRPr="00721CB9">
        <w:rPr>
          <w:rFonts w:ascii="Arial" w:hAnsi="Arial" w:cs="Arial"/>
          <w:b/>
          <w:bCs/>
          <w:sz w:val="22"/>
          <w:szCs w:val="22"/>
          <w:lang w:val="en-US"/>
        </w:rPr>
        <w:t>The propor</w:t>
      </w:r>
      <w:r w:rsidR="005F3A1B" w:rsidRPr="00721CB9">
        <w:rPr>
          <w:rFonts w:ascii="Arial" w:hAnsi="Arial" w:cs="Arial"/>
          <w:b/>
          <w:bCs/>
          <w:sz w:val="22"/>
          <w:szCs w:val="22"/>
          <w:lang w:val="en-US"/>
        </w:rPr>
        <w:t xml:space="preserve">tion of overall investment in equipment attributable to </w:t>
      </w:r>
      <w:r w:rsidR="00C104D4" w:rsidRPr="00721CB9">
        <w:rPr>
          <w:rFonts w:ascii="Arial" w:hAnsi="Arial" w:cs="Arial"/>
          <w:b/>
          <w:bCs/>
          <w:sz w:val="22"/>
          <w:szCs w:val="22"/>
          <w:lang w:val="en-US"/>
        </w:rPr>
        <w:t>leasing has risen t</w:t>
      </w:r>
      <w:r w:rsidR="005F3A1B" w:rsidRPr="00721CB9">
        <w:rPr>
          <w:rFonts w:ascii="Arial" w:hAnsi="Arial" w:cs="Arial"/>
          <w:b/>
          <w:bCs/>
          <w:sz w:val="22"/>
          <w:szCs w:val="22"/>
          <w:lang w:val="en-US"/>
        </w:rPr>
        <w:t>o 24 percent. Around</w:t>
      </w:r>
      <w:r w:rsidR="00C104D4" w:rsidRPr="00721CB9">
        <w:rPr>
          <w:rFonts w:ascii="Arial" w:hAnsi="Arial" w:cs="Arial"/>
          <w:b/>
          <w:bCs/>
          <w:sz w:val="22"/>
          <w:szCs w:val="22"/>
          <w:lang w:val="en-US"/>
        </w:rPr>
        <w:t xml:space="preserve"> 54 percent of all externally financed investments are</w:t>
      </w:r>
      <w:r w:rsidR="005F3A1B" w:rsidRPr="00721CB9">
        <w:rPr>
          <w:rFonts w:ascii="Arial" w:hAnsi="Arial" w:cs="Arial"/>
          <w:b/>
          <w:bCs/>
          <w:sz w:val="22"/>
          <w:szCs w:val="22"/>
          <w:lang w:val="en-US"/>
        </w:rPr>
        <w:t xml:space="preserve"> now</w:t>
      </w:r>
      <w:r w:rsidR="00C104D4" w:rsidRPr="00721CB9">
        <w:rPr>
          <w:rFonts w:ascii="Arial" w:hAnsi="Arial" w:cs="Arial"/>
          <w:b/>
          <w:bCs/>
          <w:sz w:val="22"/>
          <w:szCs w:val="22"/>
          <w:lang w:val="en-US"/>
        </w:rPr>
        <w:t xml:space="preserve"> made through leasing agreements. </w:t>
      </w:r>
    </w:p>
    <w:p w14:paraId="128543F0" w14:textId="77777777" w:rsidR="00AA7754" w:rsidRPr="00721CB9" w:rsidRDefault="00292731" w:rsidP="00EA36CB">
      <w:pPr>
        <w:widowControl w:val="0"/>
        <w:autoSpaceDE w:val="0"/>
        <w:autoSpaceDN w:val="0"/>
        <w:adjustRightInd w:val="0"/>
        <w:spacing w:after="120"/>
        <w:ind w:right="-172"/>
        <w:rPr>
          <w:rFonts w:ascii="Arial" w:hAnsi="Arial" w:cs="Arial"/>
          <w:bCs/>
          <w:sz w:val="22"/>
          <w:szCs w:val="22"/>
          <w:lang w:val="en-US"/>
        </w:rPr>
      </w:pPr>
      <w:r w:rsidRPr="00721CB9">
        <w:rPr>
          <w:rFonts w:ascii="Arial" w:hAnsi="Arial" w:cs="Arial"/>
          <w:bCs/>
          <w:sz w:val="22"/>
          <w:szCs w:val="22"/>
          <w:lang w:val="en-US"/>
        </w:rPr>
        <w:t>“</w:t>
      </w:r>
      <w:r w:rsidR="008E38BD" w:rsidRPr="00721CB9">
        <w:rPr>
          <w:rFonts w:ascii="Arial" w:hAnsi="Arial" w:cs="Arial"/>
          <w:bCs/>
          <w:sz w:val="22"/>
          <w:szCs w:val="22"/>
          <w:lang w:val="en-US"/>
        </w:rPr>
        <w:t>I</w:t>
      </w:r>
      <w:r w:rsidR="00D635E8" w:rsidRPr="00721CB9">
        <w:rPr>
          <w:rFonts w:ascii="Arial" w:hAnsi="Arial" w:cs="Arial"/>
          <w:bCs/>
          <w:sz w:val="22"/>
          <w:szCs w:val="22"/>
          <w:lang w:val="en-US"/>
        </w:rPr>
        <w:t xml:space="preserve">n </w:t>
      </w:r>
      <w:r w:rsidR="00A47778" w:rsidRPr="00721CB9">
        <w:rPr>
          <w:rFonts w:ascii="Arial" w:hAnsi="Arial" w:cs="Arial"/>
          <w:bCs/>
          <w:sz w:val="22"/>
          <w:szCs w:val="22"/>
          <w:lang w:val="en-US"/>
        </w:rPr>
        <w:t>un</w:t>
      </w:r>
      <w:r w:rsidR="00C104D4" w:rsidRPr="00721CB9">
        <w:rPr>
          <w:rFonts w:ascii="Arial" w:hAnsi="Arial" w:cs="Arial"/>
          <w:bCs/>
          <w:sz w:val="22"/>
          <w:szCs w:val="22"/>
          <w:lang w:val="en-US"/>
        </w:rPr>
        <w:t xml:space="preserve">certain times, many companies put their investment plans on hold. </w:t>
      </w:r>
      <w:r w:rsidRPr="00721CB9">
        <w:rPr>
          <w:rFonts w:ascii="Arial" w:hAnsi="Arial" w:cs="Arial"/>
          <w:bCs/>
          <w:sz w:val="22"/>
          <w:szCs w:val="22"/>
          <w:lang w:val="en-US"/>
        </w:rPr>
        <w:t>Those that go ahead with the</w:t>
      </w:r>
      <w:r w:rsidR="005F3A1B" w:rsidRPr="00721CB9">
        <w:rPr>
          <w:rFonts w:ascii="Arial" w:hAnsi="Arial" w:cs="Arial"/>
          <w:bCs/>
          <w:sz w:val="22"/>
          <w:szCs w:val="22"/>
          <w:lang w:val="en-US"/>
        </w:rPr>
        <w:t>ir</w:t>
      </w:r>
      <w:r w:rsidRPr="00721CB9">
        <w:rPr>
          <w:rFonts w:ascii="Arial" w:hAnsi="Arial" w:cs="Arial"/>
          <w:bCs/>
          <w:sz w:val="22"/>
          <w:szCs w:val="22"/>
          <w:lang w:val="en-US"/>
        </w:rPr>
        <w:t xml:space="preserve"> investment are increasingly using leasing”</w:t>
      </w:r>
      <w:r w:rsidR="005E7168" w:rsidRPr="00721CB9">
        <w:rPr>
          <w:rFonts w:ascii="Arial" w:hAnsi="Arial" w:cs="Arial"/>
          <w:bCs/>
          <w:sz w:val="22"/>
          <w:szCs w:val="22"/>
          <w:lang w:val="en-US"/>
        </w:rPr>
        <w:t xml:space="preserve">, </w:t>
      </w:r>
      <w:r w:rsidRPr="00721CB9">
        <w:rPr>
          <w:rFonts w:ascii="Arial" w:hAnsi="Arial" w:cs="Arial"/>
          <w:bCs/>
          <w:sz w:val="22"/>
          <w:szCs w:val="22"/>
          <w:lang w:val="en-US"/>
        </w:rPr>
        <w:t>explains</w:t>
      </w:r>
      <w:r w:rsidR="005E7168" w:rsidRPr="00721CB9">
        <w:rPr>
          <w:rFonts w:ascii="Arial" w:hAnsi="Arial" w:cs="Arial"/>
          <w:bCs/>
          <w:sz w:val="22"/>
          <w:szCs w:val="22"/>
          <w:lang w:val="en-US"/>
        </w:rPr>
        <w:t xml:space="preserve"> </w:t>
      </w:r>
      <w:r w:rsidR="00CE36B2" w:rsidRPr="00721CB9">
        <w:rPr>
          <w:rFonts w:ascii="Arial" w:hAnsi="Arial" w:cs="Arial"/>
          <w:sz w:val="22"/>
          <w:szCs w:val="22"/>
          <w:lang w:val="en-US"/>
        </w:rPr>
        <w:t>Kai Ostermann, Pr</w:t>
      </w:r>
      <w:r w:rsidRPr="00721CB9">
        <w:rPr>
          <w:rFonts w:ascii="Arial" w:hAnsi="Arial" w:cs="Arial"/>
          <w:sz w:val="22"/>
          <w:szCs w:val="22"/>
          <w:lang w:val="en-US"/>
        </w:rPr>
        <w:t>esident of the Bundesverband</w:t>
      </w:r>
      <w:r w:rsidR="00CE36B2" w:rsidRPr="00721CB9">
        <w:rPr>
          <w:rFonts w:ascii="Arial" w:hAnsi="Arial" w:cs="Arial"/>
          <w:sz w:val="22"/>
          <w:szCs w:val="22"/>
          <w:lang w:val="en-US"/>
        </w:rPr>
        <w:t xml:space="preserve"> Deutscher Leasing-Unternehmen (BDL</w:t>
      </w:r>
      <w:r w:rsidRPr="00721CB9">
        <w:rPr>
          <w:rFonts w:ascii="Arial" w:hAnsi="Arial" w:cs="Arial"/>
          <w:sz w:val="22"/>
          <w:szCs w:val="22"/>
          <w:lang w:val="en-US"/>
        </w:rPr>
        <w:t xml:space="preserve"> – German Leasing Association</w:t>
      </w:r>
      <w:r w:rsidR="00CE36B2" w:rsidRPr="00721CB9">
        <w:rPr>
          <w:rFonts w:ascii="Arial" w:hAnsi="Arial" w:cs="Arial"/>
          <w:sz w:val="22"/>
          <w:szCs w:val="22"/>
          <w:lang w:val="en-US"/>
        </w:rPr>
        <w:t>).</w:t>
      </w:r>
      <w:r w:rsidR="00CE36B2" w:rsidRPr="00721CB9">
        <w:rPr>
          <w:rFonts w:ascii="Arial" w:hAnsi="Arial" w:cs="Arial"/>
          <w:bCs/>
          <w:sz w:val="22"/>
          <w:szCs w:val="22"/>
          <w:lang w:val="en-US"/>
        </w:rPr>
        <w:t xml:space="preserve"> </w:t>
      </w:r>
      <w:r w:rsidR="005E7168" w:rsidRPr="00721CB9">
        <w:rPr>
          <w:rFonts w:ascii="Arial" w:hAnsi="Arial" w:cs="Arial"/>
          <w:bCs/>
          <w:sz w:val="22"/>
          <w:szCs w:val="22"/>
          <w:lang w:val="en-US"/>
        </w:rPr>
        <w:t>Leasing</w:t>
      </w:r>
      <w:r w:rsidR="00AA6DE6" w:rsidRPr="00721CB9">
        <w:rPr>
          <w:rFonts w:ascii="Arial" w:hAnsi="Arial" w:cs="Arial"/>
          <w:bCs/>
          <w:sz w:val="22"/>
          <w:szCs w:val="22"/>
          <w:lang w:val="en-US"/>
        </w:rPr>
        <w:t xml:space="preserve"> </w:t>
      </w:r>
      <w:r w:rsidRPr="00721CB9">
        <w:rPr>
          <w:rFonts w:ascii="Arial" w:hAnsi="Arial" w:cs="Arial"/>
          <w:bCs/>
          <w:sz w:val="22"/>
          <w:szCs w:val="22"/>
          <w:lang w:val="en-US"/>
        </w:rPr>
        <w:t xml:space="preserve">thus </w:t>
      </w:r>
      <w:r w:rsidR="00851BD4" w:rsidRPr="00721CB9">
        <w:rPr>
          <w:rFonts w:ascii="Arial" w:hAnsi="Arial" w:cs="Arial"/>
          <w:bCs/>
          <w:sz w:val="22"/>
          <w:szCs w:val="22"/>
          <w:lang w:val="en-US"/>
        </w:rPr>
        <w:t xml:space="preserve">remains a powerful </w:t>
      </w:r>
      <w:r w:rsidRPr="00721CB9">
        <w:rPr>
          <w:rFonts w:ascii="Arial" w:hAnsi="Arial" w:cs="Arial"/>
          <w:bCs/>
          <w:sz w:val="22"/>
          <w:szCs w:val="22"/>
          <w:lang w:val="en-US"/>
        </w:rPr>
        <w:t xml:space="preserve">driving force in the German economy. “The leasing sector offers solutions </w:t>
      </w:r>
      <w:r w:rsidR="00D26D74" w:rsidRPr="00721CB9">
        <w:rPr>
          <w:rFonts w:ascii="Arial" w:hAnsi="Arial" w:cs="Arial"/>
          <w:bCs/>
          <w:sz w:val="22"/>
          <w:szCs w:val="22"/>
          <w:lang w:val="en-US"/>
        </w:rPr>
        <w:t>for present-day challenges such as the ongoing proc</w:t>
      </w:r>
      <w:r w:rsidR="00AA6DE6" w:rsidRPr="00721CB9">
        <w:rPr>
          <w:rFonts w:ascii="Arial" w:hAnsi="Arial" w:cs="Arial"/>
          <w:bCs/>
          <w:sz w:val="22"/>
          <w:szCs w:val="22"/>
          <w:lang w:val="en-US"/>
        </w:rPr>
        <w:t>ess of digitalization, achieving e</w:t>
      </w:r>
      <w:r w:rsidR="00851BD4" w:rsidRPr="00721CB9">
        <w:rPr>
          <w:rFonts w:ascii="Arial" w:hAnsi="Arial" w:cs="Arial"/>
          <w:bCs/>
          <w:sz w:val="22"/>
          <w:szCs w:val="22"/>
          <w:lang w:val="en-US"/>
        </w:rPr>
        <w:t>-mobility and e</w:t>
      </w:r>
      <w:r w:rsidR="00AA6DE6" w:rsidRPr="00721CB9">
        <w:rPr>
          <w:rFonts w:ascii="Arial" w:hAnsi="Arial" w:cs="Arial"/>
          <w:bCs/>
          <w:sz w:val="22"/>
          <w:szCs w:val="22"/>
          <w:lang w:val="en-US"/>
        </w:rPr>
        <w:t>nergy-</w:t>
      </w:r>
      <w:r w:rsidR="004F0E33" w:rsidRPr="00721CB9">
        <w:rPr>
          <w:rFonts w:ascii="Arial" w:hAnsi="Arial" w:cs="Arial"/>
          <w:bCs/>
          <w:sz w:val="22"/>
          <w:szCs w:val="22"/>
          <w:lang w:val="en-US"/>
        </w:rPr>
        <w:t>efficiency</w:t>
      </w:r>
      <w:r w:rsidR="00AA6DE6" w:rsidRPr="00721CB9">
        <w:rPr>
          <w:rFonts w:ascii="Arial" w:hAnsi="Arial" w:cs="Arial"/>
          <w:bCs/>
          <w:sz w:val="22"/>
          <w:szCs w:val="22"/>
          <w:lang w:val="en-US"/>
        </w:rPr>
        <w:t xml:space="preserve"> solutions,</w:t>
      </w:r>
      <w:r w:rsidR="004F0E33" w:rsidRPr="00721CB9">
        <w:rPr>
          <w:rFonts w:ascii="Arial" w:hAnsi="Arial" w:cs="Arial"/>
          <w:bCs/>
          <w:sz w:val="22"/>
          <w:szCs w:val="22"/>
          <w:lang w:val="en-US"/>
        </w:rPr>
        <w:t xml:space="preserve"> and </w:t>
      </w:r>
      <w:r w:rsidR="005F3A1B" w:rsidRPr="00721CB9">
        <w:rPr>
          <w:rFonts w:ascii="Arial" w:hAnsi="Arial" w:cs="Arial"/>
          <w:bCs/>
          <w:sz w:val="22"/>
          <w:szCs w:val="22"/>
          <w:lang w:val="en-US"/>
        </w:rPr>
        <w:t xml:space="preserve">implementing </w:t>
      </w:r>
      <w:r w:rsidR="004F0E33" w:rsidRPr="00721CB9">
        <w:rPr>
          <w:rFonts w:ascii="Arial" w:hAnsi="Arial" w:cs="Arial"/>
          <w:bCs/>
          <w:sz w:val="22"/>
          <w:szCs w:val="22"/>
          <w:lang w:val="en-US"/>
        </w:rPr>
        <w:t>mod</w:t>
      </w:r>
      <w:r w:rsidR="00AA6DE6" w:rsidRPr="00721CB9">
        <w:rPr>
          <w:rFonts w:ascii="Arial" w:hAnsi="Arial" w:cs="Arial"/>
          <w:bCs/>
          <w:sz w:val="22"/>
          <w:szCs w:val="22"/>
          <w:lang w:val="en-US"/>
        </w:rPr>
        <w:t>ern green</w:t>
      </w:r>
      <w:r w:rsidR="004F0E33" w:rsidRPr="00721CB9">
        <w:rPr>
          <w:rFonts w:ascii="Arial" w:hAnsi="Arial" w:cs="Arial"/>
          <w:bCs/>
          <w:sz w:val="22"/>
          <w:szCs w:val="22"/>
          <w:lang w:val="en-US"/>
        </w:rPr>
        <w:t xml:space="preserve"> techn</w:t>
      </w:r>
      <w:r w:rsidR="009F56E1" w:rsidRPr="00721CB9">
        <w:rPr>
          <w:rFonts w:ascii="Arial" w:hAnsi="Arial" w:cs="Arial"/>
          <w:bCs/>
          <w:sz w:val="22"/>
          <w:szCs w:val="22"/>
          <w:lang w:val="en-US"/>
        </w:rPr>
        <w:t>ologies</w:t>
      </w:r>
      <w:r w:rsidR="00FF2907" w:rsidRPr="00721CB9">
        <w:rPr>
          <w:rFonts w:ascii="Arial" w:hAnsi="Arial" w:cs="Arial"/>
          <w:bCs/>
          <w:sz w:val="22"/>
          <w:szCs w:val="22"/>
          <w:lang w:val="en-US"/>
        </w:rPr>
        <w:t>”</w:t>
      </w:r>
      <w:r w:rsidR="009F56E1" w:rsidRPr="00721CB9">
        <w:rPr>
          <w:rFonts w:ascii="Arial" w:hAnsi="Arial" w:cs="Arial"/>
          <w:bCs/>
          <w:sz w:val="22"/>
          <w:szCs w:val="22"/>
          <w:lang w:val="en-US"/>
        </w:rPr>
        <w:t>.</w:t>
      </w:r>
      <w:r w:rsidR="00FF2907" w:rsidRPr="00721CB9">
        <w:rPr>
          <w:rFonts w:ascii="Arial" w:hAnsi="Arial" w:cs="Arial"/>
          <w:bCs/>
          <w:sz w:val="22"/>
          <w:szCs w:val="22"/>
          <w:lang w:val="en-US"/>
        </w:rPr>
        <w:t xml:space="preserve"> </w:t>
      </w:r>
      <w:r w:rsidR="005F3A1B" w:rsidRPr="00721CB9">
        <w:rPr>
          <w:rFonts w:ascii="Arial" w:hAnsi="Arial" w:cs="Arial"/>
          <w:bCs/>
          <w:sz w:val="22"/>
          <w:szCs w:val="22"/>
          <w:lang w:val="en-US"/>
        </w:rPr>
        <w:t xml:space="preserve">Ostermann </w:t>
      </w:r>
      <w:r w:rsidR="00200543" w:rsidRPr="00721CB9">
        <w:rPr>
          <w:rFonts w:ascii="Arial" w:hAnsi="Arial" w:cs="Arial"/>
          <w:bCs/>
          <w:sz w:val="22"/>
          <w:szCs w:val="22"/>
          <w:lang w:val="en-US"/>
        </w:rPr>
        <w:t>firmly believes</w:t>
      </w:r>
      <w:r w:rsidR="005F3A1B" w:rsidRPr="00721CB9">
        <w:rPr>
          <w:rFonts w:ascii="Arial" w:hAnsi="Arial" w:cs="Arial"/>
          <w:bCs/>
          <w:sz w:val="22"/>
          <w:szCs w:val="22"/>
          <w:lang w:val="en-US"/>
        </w:rPr>
        <w:t xml:space="preserve"> leasing</w:t>
      </w:r>
      <w:r w:rsidR="004F0E33" w:rsidRPr="00721CB9">
        <w:rPr>
          <w:rFonts w:ascii="Arial" w:hAnsi="Arial" w:cs="Arial"/>
          <w:bCs/>
          <w:sz w:val="22"/>
          <w:szCs w:val="22"/>
          <w:lang w:val="en-US"/>
        </w:rPr>
        <w:t xml:space="preserve"> is helping the economy address the problem of climate protection</w:t>
      </w:r>
      <w:r w:rsidR="00FF2907" w:rsidRPr="00721CB9">
        <w:rPr>
          <w:rFonts w:ascii="Arial" w:hAnsi="Arial" w:cs="Arial"/>
          <w:bCs/>
          <w:sz w:val="22"/>
          <w:szCs w:val="22"/>
          <w:lang w:val="en-US"/>
        </w:rPr>
        <w:t>: according to the EU Commission, an additional Europe-wide investment of 180 billion euro per annum will be required if the EU’s energy and cl</w:t>
      </w:r>
      <w:r w:rsidR="00200543" w:rsidRPr="00721CB9">
        <w:rPr>
          <w:rFonts w:ascii="Arial" w:hAnsi="Arial" w:cs="Arial"/>
          <w:bCs/>
          <w:sz w:val="22"/>
          <w:szCs w:val="22"/>
          <w:lang w:val="en-US"/>
        </w:rPr>
        <w:t>imate targets are to be met</w:t>
      </w:r>
      <w:r w:rsidR="00FF2907" w:rsidRPr="00721CB9">
        <w:rPr>
          <w:rFonts w:ascii="Arial" w:hAnsi="Arial" w:cs="Arial"/>
          <w:bCs/>
          <w:sz w:val="22"/>
          <w:szCs w:val="22"/>
          <w:lang w:val="en-US"/>
        </w:rPr>
        <w:t xml:space="preserve">. </w:t>
      </w:r>
      <w:r w:rsidR="00200543" w:rsidRPr="00721CB9">
        <w:rPr>
          <w:rFonts w:ascii="Arial" w:hAnsi="Arial" w:cs="Arial"/>
          <w:bCs/>
          <w:sz w:val="22"/>
          <w:szCs w:val="22"/>
          <w:lang w:val="en-US"/>
        </w:rPr>
        <w:t>“</w:t>
      </w:r>
      <w:r w:rsidR="00FF2907" w:rsidRPr="00721CB9">
        <w:rPr>
          <w:rFonts w:ascii="Arial" w:hAnsi="Arial" w:cs="Arial"/>
          <w:bCs/>
          <w:sz w:val="22"/>
          <w:szCs w:val="22"/>
          <w:lang w:val="en-US"/>
        </w:rPr>
        <w:t>The leasing industry will play an active role in placing the German economy on an environmentally sustainable footing. Our expertise is ena</w:t>
      </w:r>
      <w:r w:rsidR="00200543" w:rsidRPr="00721CB9">
        <w:rPr>
          <w:rFonts w:ascii="Arial" w:hAnsi="Arial" w:cs="Arial"/>
          <w:bCs/>
          <w:sz w:val="22"/>
          <w:szCs w:val="22"/>
          <w:lang w:val="en-US"/>
        </w:rPr>
        <w:t>bling us to deliver</w:t>
      </w:r>
      <w:r w:rsidR="00FF2907" w:rsidRPr="00721CB9">
        <w:rPr>
          <w:rFonts w:ascii="Arial" w:hAnsi="Arial" w:cs="Arial"/>
          <w:bCs/>
          <w:sz w:val="22"/>
          <w:szCs w:val="22"/>
          <w:lang w:val="en-US"/>
        </w:rPr>
        <w:t xml:space="preserve"> a sizeable proportion of the investment needed to implement modern, environ</w:t>
      </w:r>
      <w:r w:rsidR="00BF70D5" w:rsidRPr="00721CB9">
        <w:rPr>
          <w:rFonts w:ascii="Arial" w:hAnsi="Arial" w:cs="Arial"/>
          <w:bCs/>
          <w:sz w:val="22"/>
          <w:szCs w:val="22"/>
          <w:lang w:val="en-US"/>
        </w:rPr>
        <w:t>mentally friendly technologies”.</w:t>
      </w:r>
    </w:p>
    <w:p w14:paraId="1D8C10BA" w14:textId="77777777" w:rsidR="007C7D70" w:rsidRPr="00721CB9" w:rsidRDefault="00A35493" w:rsidP="00F16BF9">
      <w:pPr>
        <w:widowControl w:val="0"/>
        <w:autoSpaceDE w:val="0"/>
        <w:autoSpaceDN w:val="0"/>
        <w:adjustRightInd w:val="0"/>
        <w:spacing w:after="120"/>
        <w:ind w:right="-172"/>
        <w:rPr>
          <w:rFonts w:ascii="Arial" w:hAnsi="Arial" w:cs="Arial"/>
          <w:b/>
          <w:bCs/>
          <w:sz w:val="22"/>
          <w:szCs w:val="22"/>
          <w:lang w:val="en-US"/>
        </w:rPr>
      </w:pPr>
      <w:r w:rsidRPr="00721CB9">
        <w:rPr>
          <w:rFonts w:ascii="Arial" w:hAnsi="Arial" w:cs="Arial"/>
          <w:b/>
          <w:bCs/>
          <w:sz w:val="22"/>
          <w:szCs w:val="22"/>
          <w:lang w:val="en-US"/>
        </w:rPr>
        <w:t>Success through expertise, services and the personal touch</w:t>
      </w:r>
    </w:p>
    <w:p w14:paraId="216A6E70" w14:textId="77777777" w:rsidR="00B712E8" w:rsidRPr="00721CB9" w:rsidRDefault="00224464" w:rsidP="00F16BF9">
      <w:pPr>
        <w:widowControl w:val="0"/>
        <w:autoSpaceDE w:val="0"/>
        <w:autoSpaceDN w:val="0"/>
        <w:adjustRightInd w:val="0"/>
        <w:spacing w:after="120"/>
        <w:ind w:right="-172"/>
        <w:rPr>
          <w:rFonts w:ascii="Arial" w:hAnsi="Arial" w:cs="Arial"/>
          <w:bCs/>
          <w:sz w:val="22"/>
          <w:szCs w:val="22"/>
          <w:lang w:val="en-US"/>
        </w:rPr>
      </w:pPr>
      <w:r w:rsidRPr="00721CB9">
        <w:rPr>
          <w:rFonts w:ascii="Arial" w:hAnsi="Arial" w:cs="Arial"/>
          <w:bCs/>
          <w:sz w:val="22"/>
          <w:szCs w:val="22"/>
          <w:lang w:val="en-US"/>
        </w:rPr>
        <w:t xml:space="preserve">Leasing </w:t>
      </w:r>
      <w:r w:rsidR="00200543" w:rsidRPr="00721CB9">
        <w:rPr>
          <w:rFonts w:ascii="Arial" w:hAnsi="Arial" w:cs="Arial"/>
          <w:bCs/>
          <w:sz w:val="22"/>
          <w:szCs w:val="22"/>
          <w:lang w:val="en-US"/>
        </w:rPr>
        <w:t xml:space="preserve">is </w:t>
      </w:r>
      <w:r w:rsidR="00A72E3F" w:rsidRPr="00721CB9">
        <w:rPr>
          <w:rFonts w:ascii="Arial" w:hAnsi="Arial" w:cs="Arial"/>
          <w:bCs/>
          <w:sz w:val="22"/>
          <w:szCs w:val="22"/>
          <w:lang w:val="en-US"/>
        </w:rPr>
        <w:t>help</w:t>
      </w:r>
      <w:r w:rsidR="00200543" w:rsidRPr="00721CB9">
        <w:rPr>
          <w:rFonts w:ascii="Arial" w:hAnsi="Arial" w:cs="Arial"/>
          <w:bCs/>
          <w:sz w:val="22"/>
          <w:szCs w:val="22"/>
          <w:lang w:val="en-US"/>
        </w:rPr>
        <w:t>ing companies invest</w:t>
      </w:r>
      <w:r w:rsidR="00A72E3F" w:rsidRPr="00721CB9">
        <w:rPr>
          <w:rFonts w:ascii="Arial" w:hAnsi="Arial" w:cs="Arial"/>
          <w:bCs/>
          <w:sz w:val="22"/>
          <w:szCs w:val="22"/>
          <w:lang w:val="en-US"/>
        </w:rPr>
        <w:t xml:space="preserve"> in the digital revolution. </w:t>
      </w:r>
      <w:r w:rsidR="00200543" w:rsidRPr="00721CB9">
        <w:rPr>
          <w:rFonts w:ascii="Arial" w:hAnsi="Arial" w:cs="Arial"/>
          <w:bCs/>
          <w:sz w:val="22"/>
          <w:szCs w:val="22"/>
          <w:lang w:val="en-US"/>
        </w:rPr>
        <w:t>And d</w:t>
      </w:r>
      <w:r w:rsidR="00A72E3F" w:rsidRPr="00721CB9">
        <w:rPr>
          <w:rFonts w:ascii="Arial" w:hAnsi="Arial" w:cs="Arial"/>
          <w:bCs/>
          <w:sz w:val="22"/>
          <w:szCs w:val="22"/>
          <w:lang w:val="en-US"/>
        </w:rPr>
        <w:t>igitaliza</w:t>
      </w:r>
      <w:r w:rsidR="00200543" w:rsidRPr="00721CB9">
        <w:rPr>
          <w:rFonts w:ascii="Arial" w:hAnsi="Arial" w:cs="Arial"/>
          <w:bCs/>
          <w:sz w:val="22"/>
          <w:szCs w:val="22"/>
          <w:lang w:val="en-US"/>
        </w:rPr>
        <w:t>tion is driving</w:t>
      </w:r>
      <w:r w:rsidR="00A7045B" w:rsidRPr="00721CB9">
        <w:rPr>
          <w:rFonts w:ascii="Arial" w:hAnsi="Arial" w:cs="Arial"/>
          <w:bCs/>
          <w:sz w:val="22"/>
          <w:szCs w:val="22"/>
          <w:lang w:val="en-US"/>
        </w:rPr>
        <w:t xml:space="preserve"> demand for</w:t>
      </w:r>
      <w:r w:rsidR="00200543" w:rsidRPr="00721CB9">
        <w:rPr>
          <w:rFonts w:ascii="Arial" w:hAnsi="Arial" w:cs="Arial"/>
          <w:bCs/>
          <w:sz w:val="22"/>
          <w:szCs w:val="22"/>
          <w:lang w:val="en-US"/>
        </w:rPr>
        <w:t xml:space="preserve"> </w:t>
      </w:r>
      <w:r w:rsidR="00A72E3F" w:rsidRPr="00721CB9">
        <w:rPr>
          <w:rFonts w:ascii="Arial" w:hAnsi="Arial" w:cs="Arial"/>
          <w:bCs/>
          <w:sz w:val="22"/>
          <w:szCs w:val="22"/>
          <w:lang w:val="en-US"/>
        </w:rPr>
        <w:t>pay-</w:t>
      </w:r>
      <w:r w:rsidR="00E823B4" w:rsidRPr="00721CB9">
        <w:rPr>
          <w:rFonts w:ascii="Arial" w:hAnsi="Arial" w:cs="Arial"/>
          <w:bCs/>
          <w:sz w:val="22"/>
          <w:szCs w:val="22"/>
          <w:lang w:val="en-US"/>
        </w:rPr>
        <w:t>per</w:t>
      </w:r>
      <w:r w:rsidR="00A72E3F" w:rsidRPr="00721CB9">
        <w:rPr>
          <w:rFonts w:ascii="Arial" w:hAnsi="Arial" w:cs="Arial"/>
          <w:bCs/>
          <w:sz w:val="22"/>
          <w:szCs w:val="22"/>
          <w:lang w:val="en-US"/>
        </w:rPr>
        <w:t>-use leasing plans</w:t>
      </w:r>
      <w:r w:rsidR="00200543" w:rsidRPr="00721CB9">
        <w:rPr>
          <w:rFonts w:ascii="Arial" w:hAnsi="Arial" w:cs="Arial"/>
          <w:bCs/>
          <w:sz w:val="22"/>
          <w:szCs w:val="22"/>
          <w:lang w:val="en-US"/>
        </w:rPr>
        <w:t>,</w:t>
      </w:r>
      <w:r w:rsidR="00A72E3F" w:rsidRPr="00721CB9">
        <w:rPr>
          <w:rFonts w:ascii="Arial" w:hAnsi="Arial" w:cs="Arial"/>
          <w:bCs/>
          <w:sz w:val="22"/>
          <w:szCs w:val="22"/>
          <w:lang w:val="en-US"/>
        </w:rPr>
        <w:t xml:space="preserve"> since it en</w:t>
      </w:r>
      <w:r w:rsidR="00200543" w:rsidRPr="00721CB9">
        <w:rPr>
          <w:rFonts w:ascii="Arial" w:hAnsi="Arial" w:cs="Arial"/>
          <w:bCs/>
          <w:sz w:val="22"/>
          <w:szCs w:val="22"/>
          <w:lang w:val="en-US"/>
        </w:rPr>
        <w:t>ables</w:t>
      </w:r>
      <w:r w:rsidR="00A72E3F" w:rsidRPr="00721CB9">
        <w:rPr>
          <w:rFonts w:ascii="Arial" w:hAnsi="Arial" w:cs="Arial"/>
          <w:bCs/>
          <w:sz w:val="22"/>
          <w:szCs w:val="22"/>
          <w:lang w:val="en-US"/>
        </w:rPr>
        <w:t xml:space="preserve"> new financing and service models that depend on the </w:t>
      </w:r>
      <w:r w:rsidR="00616AE7" w:rsidRPr="00721CB9">
        <w:rPr>
          <w:rFonts w:ascii="Arial" w:hAnsi="Arial" w:cs="Arial"/>
          <w:bCs/>
          <w:sz w:val="22"/>
          <w:szCs w:val="22"/>
          <w:lang w:val="en-US"/>
        </w:rPr>
        <w:t xml:space="preserve">gathering and exchange of usage-based data. </w:t>
      </w:r>
      <w:r w:rsidR="00F067F0" w:rsidRPr="00721CB9">
        <w:rPr>
          <w:rFonts w:ascii="Arial" w:hAnsi="Arial" w:cs="Arial"/>
          <w:bCs/>
          <w:sz w:val="22"/>
          <w:szCs w:val="22"/>
          <w:lang w:val="en-US"/>
        </w:rPr>
        <w:t>With their market and asset expertise, leasing companies are well place</w:t>
      </w:r>
      <w:r w:rsidR="000B716E" w:rsidRPr="00721CB9">
        <w:rPr>
          <w:rFonts w:ascii="Arial" w:hAnsi="Arial" w:cs="Arial"/>
          <w:bCs/>
          <w:sz w:val="22"/>
          <w:szCs w:val="22"/>
          <w:lang w:val="en-US"/>
        </w:rPr>
        <w:t>d</w:t>
      </w:r>
      <w:r w:rsidR="00F067F0" w:rsidRPr="00721CB9">
        <w:rPr>
          <w:rFonts w:ascii="Arial" w:hAnsi="Arial" w:cs="Arial"/>
          <w:bCs/>
          <w:sz w:val="22"/>
          <w:szCs w:val="22"/>
          <w:lang w:val="en-US"/>
        </w:rPr>
        <w:t xml:space="preserve"> to advise customers on the selec</w:t>
      </w:r>
      <w:r w:rsidR="000B716E" w:rsidRPr="00721CB9">
        <w:rPr>
          <w:rFonts w:ascii="Arial" w:hAnsi="Arial" w:cs="Arial"/>
          <w:bCs/>
          <w:sz w:val="22"/>
          <w:szCs w:val="22"/>
          <w:lang w:val="en-US"/>
        </w:rPr>
        <w:t xml:space="preserve">tion and </w:t>
      </w:r>
      <w:r w:rsidR="00A7045B" w:rsidRPr="00721CB9">
        <w:rPr>
          <w:rFonts w:ascii="Arial" w:hAnsi="Arial" w:cs="Arial"/>
          <w:bCs/>
          <w:sz w:val="22"/>
          <w:szCs w:val="22"/>
          <w:lang w:val="en-US"/>
        </w:rPr>
        <w:t xml:space="preserve">the </w:t>
      </w:r>
      <w:r w:rsidR="000B716E" w:rsidRPr="00721CB9">
        <w:rPr>
          <w:rFonts w:ascii="Arial" w:hAnsi="Arial" w:cs="Arial"/>
          <w:bCs/>
          <w:sz w:val="22"/>
          <w:szCs w:val="22"/>
          <w:lang w:val="en-US"/>
        </w:rPr>
        <w:t>optimum utilization</w:t>
      </w:r>
      <w:r w:rsidR="00F067F0" w:rsidRPr="00721CB9">
        <w:rPr>
          <w:rFonts w:ascii="Arial" w:hAnsi="Arial" w:cs="Arial"/>
          <w:bCs/>
          <w:sz w:val="22"/>
          <w:szCs w:val="22"/>
          <w:lang w:val="en-US"/>
        </w:rPr>
        <w:t xml:space="preserve"> of vehicles, machinery and other capital goods. Further</w:t>
      </w:r>
      <w:r w:rsidR="000B716E" w:rsidRPr="00721CB9">
        <w:rPr>
          <w:rFonts w:ascii="Arial" w:hAnsi="Arial" w:cs="Arial"/>
          <w:bCs/>
          <w:sz w:val="22"/>
          <w:szCs w:val="22"/>
          <w:lang w:val="en-US"/>
        </w:rPr>
        <w:t>more, in the digital era we now live in,</w:t>
      </w:r>
      <w:r w:rsidR="00A7045B" w:rsidRPr="00721CB9">
        <w:rPr>
          <w:rFonts w:ascii="Arial" w:hAnsi="Arial" w:cs="Arial"/>
          <w:bCs/>
          <w:sz w:val="22"/>
          <w:szCs w:val="22"/>
          <w:lang w:val="en-US"/>
        </w:rPr>
        <w:t xml:space="preserve"> the leasing sector</w:t>
      </w:r>
      <w:r w:rsidR="00F067F0" w:rsidRPr="00721CB9">
        <w:rPr>
          <w:rFonts w:ascii="Arial" w:hAnsi="Arial" w:cs="Arial"/>
          <w:bCs/>
          <w:sz w:val="22"/>
          <w:szCs w:val="22"/>
          <w:lang w:val="en-US"/>
        </w:rPr>
        <w:t xml:space="preserve"> can offer </w:t>
      </w:r>
      <w:r w:rsidR="00851BD4" w:rsidRPr="00721CB9">
        <w:rPr>
          <w:rFonts w:ascii="Arial" w:hAnsi="Arial" w:cs="Arial"/>
          <w:bCs/>
          <w:sz w:val="22"/>
          <w:szCs w:val="22"/>
          <w:lang w:val="en-US"/>
        </w:rPr>
        <w:t>one or two</w:t>
      </w:r>
      <w:r w:rsidR="000B716E" w:rsidRPr="00721CB9">
        <w:rPr>
          <w:rFonts w:ascii="Arial" w:hAnsi="Arial" w:cs="Arial"/>
          <w:bCs/>
          <w:sz w:val="22"/>
          <w:szCs w:val="22"/>
          <w:lang w:val="en-US"/>
        </w:rPr>
        <w:t xml:space="preserve"> </w:t>
      </w:r>
      <w:r w:rsidR="00F067F0" w:rsidRPr="00721CB9">
        <w:rPr>
          <w:rFonts w:ascii="Arial" w:hAnsi="Arial" w:cs="Arial"/>
          <w:bCs/>
          <w:sz w:val="22"/>
          <w:szCs w:val="22"/>
          <w:lang w:val="en-US"/>
        </w:rPr>
        <w:t>particularly im</w:t>
      </w:r>
      <w:r w:rsidR="000B716E" w:rsidRPr="00721CB9">
        <w:rPr>
          <w:rFonts w:ascii="Arial" w:hAnsi="Arial" w:cs="Arial"/>
          <w:bCs/>
          <w:sz w:val="22"/>
          <w:szCs w:val="22"/>
          <w:lang w:val="en-US"/>
        </w:rPr>
        <w:t>portant bonus</w:t>
      </w:r>
      <w:r w:rsidR="00851BD4" w:rsidRPr="00721CB9">
        <w:rPr>
          <w:rFonts w:ascii="Arial" w:hAnsi="Arial" w:cs="Arial"/>
          <w:bCs/>
          <w:sz w:val="22"/>
          <w:szCs w:val="22"/>
          <w:lang w:val="en-US"/>
        </w:rPr>
        <w:t>es</w:t>
      </w:r>
      <w:r w:rsidR="000B716E" w:rsidRPr="00721CB9">
        <w:rPr>
          <w:rFonts w:ascii="Arial" w:hAnsi="Arial" w:cs="Arial"/>
          <w:bCs/>
          <w:sz w:val="22"/>
          <w:szCs w:val="22"/>
          <w:lang w:val="en-US"/>
        </w:rPr>
        <w:t>:</w:t>
      </w:r>
      <w:r w:rsidR="00F067F0" w:rsidRPr="00721CB9">
        <w:rPr>
          <w:rFonts w:ascii="Arial" w:hAnsi="Arial" w:cs="Arial"/>
          <w:bCs/>
          <w:sz w:val="22"/>
          <w:szCs w:val="22"/>
          <w:lang w:val="en-US"/>
        </w:rPr>
        <w:t xml:space="preserve"> “Top-class consultative support and personalized customer relations go together. </w:t>
      </w:r>
      <w:r w:rsidR="00A64FFD" w:rsidRPr="00721CB9">
        <w:rPr>
          <w:rFonts w:ascii="Arial" w:hAnsi="Arial" w:cs="Arial"/>
          <w:bCs/>
          <w:sz w:val="22"/>
          <w:szCs w:val="22"/>
          <w:lang w:val="en-US"/>
        </w:rPr>
        <w:t>Our customers value per</w:t>
      </w:r>
      <w:r w:rsidR="000B716E" w:rsidRPr="00721CB9">
        <w:rPr>
          <w:rFonts w:ascii="Arial" w:hAnsi="Arial" w:cs="Arial"/>
          <w:bCs/>
          <w:sz w:val="22"/>
          <w:szCs w:val="22"/>
          <w:lang w:val="en-US"/>
        </w:rPr>
        <w:t xml:space="preserve">sonal contact with </w:t>
      </w:r>
      <w:r w:rsidR="00A64FFD" w:rsidRPr="00721CB9">
        <w:rPr>
          <w:rFonts w:ascii="Arial" w:hAnsi="Arial" w:cs="Arial"/>
          <w:bCs/>
          <w:sz w:val="22"/>
          <w:szCs w:val="22"/>
          <w:lang w:val="en-US"/>
        </w:rPr>
        <w:t>the</w:t>
      </w:r>
      <w:r w:rsidR="000B716E" w:rsidRPr="00721CB9">
        <w:rPr>
          <w:rFonts w:ascii="Arial" w:hAnsi="Arial" w:cs="Arial"/>
          <w:bCs/>
          <w:sz w:val="22"/>
          <w:szCs w:val="22"/>
          <w:lang w:val="en-US"/>
        </w:rPr>
        <w:t>ir</w:t>
      </w:r>
      <w:r w:rsidR="00A64FFD" w:rsidRPr="00721CB9">
        <w:rPr>
          <w:rFonts w:ascii="Arial" w:hAnsi="Arial" w:cs="Arial"/>
          <w:bCs/>
          <w:sz w:val="22"/>
          <w:szCs w:val="22"/>
          <w:lang w:val="en-US"/>
        </w:rPr>
        <w:t xml:space="preserve"> leasing co</w:t>
      </w:r>
      <w:r w:rsidR="000B716E" w:rsidRPr="00721CB9">
        <w:rPr>
          <w:rFonts w:ascii="Arial" w:hAnsi="Arial" w:cs="Arial"/>
          <w:bCs/>
          <w:sz w:val="22"/>
          <w:szCs w:val="22"/>
          <w:lang w:val="en-US"/>
        </w:rPr>
        <w:t>mpany</w:t>
      </w:r>
      <w:r w:rsidR="00A7045B" w:rsidRPr="00721CB9">
        <w:rPr>
          <w:rFonts w:ascii="Arial" w:hAnsi="Arial" w:cs="Arial"/>
          <w:bCs/>
          <w:sz w:val="22"/>
          <w:szCs w:val="22"/>
          <w:lang w:val="en-US"/>
        </w:rPr>
        <w:t>,</w:t>
      </w:r>
      <w:r w:rsidR="000B716E" w:rsidRPr="00721CB9">
        <w:rPr>
          <w:rFonts w:ascii="Arial" w:hAnsi="Arial" w:cs="Arial"/>
          <w:bCs/>
          <w:sz w:val="22"/>
          <w:szCs w:val="22"/>
          <w:lang w:val="en-US"/>
        </w:rPr>
        <w:t xml:space="preserve"> and prompt</w:t>
      </w:r>
      <w:r w:rsidR="00A64FFD" w:rsidRPr="00721CB9">
        <w:rPr>
          <w:rFonts w:ascii="Arial" w:hAnsi="Arial" w:cs="Arial"/>
          <w:bCs/>
          <w:sz w:val="22"/>
          <w:szCs w:val="22"/>
          <w:lang w:val="en-US"/>
        </w:rPr>
        <w:t xml:space="preserve"> responses to their enquiries,” says Ostermann. </w:t>
      </w:r>
      <w:r w:rsidR="000B716E" w:rsidRPr="00721CB9">
        <w:rPr>
          <w:rFonts w:ascii="Arial" w:hAnsi="Arial" w:cs="Arial"/>
          <w:bCs/>
          <w:sz w:val="22"/>
          <w:szCs w:val="22"/>
          <w:lang w:val="en-US"/>
        </w:rPr>
        <w:t xml:space="preserve">“Digital services and online </w:t>
      </w:r>
      <w:r w:rsidR="00A7045B" w:rsidRPr="00721CB9">
        <w:rPr>
          <w:rFonts w:ascii="Arial" w:hAnsi="Arial" w:cs="Arial"/>
          <w:bCs/>
          <w:sz w:val="22"/>
          <w:szCs w:val="22"/>
          <w:lang w:val="en-US"/>
        </w:rPr>
        <w:t>offer</w:t>
      </w:r>
      <w:r w:rsidR="0052217D" w:rsidRPr="00721CB9">
        <w:rPr>
          <w:rFonts w:ascii="Arial" w:hAnsi="Arial" w:cs="Arial"/>
          <w:bCs/>
          <w:sz w:val="22"/>
          <w:szCs w:val="22"/>
          <w:lang w:val="en-US"/>
        </w:rPr>
        <w:t xml:space="preserve">s </w:t>
      </w:r>
      <w:r w:rsidR="000B716E" w:rsidRPr="00721CB9">
        <w:rPr>
          <w:rFonts w:ascii="Arial" w:hAnsi="Arial" w:cs="Arial"/>
          <w:bCs/>
          <w:sz w:val="22"/>
          <w:szCs w:val="22"/>
          <w:lang w:val="en-US"/>
        </w:rPr>
        <w:t>may be the icing on the cake</w:t>
      </w:r>
      <w:r w:rsidR="0052217D" w:rsidRPr="00721CB9">
        <w:rPr>
          <w:rFonts w:ascii="Arial" w:hAnsi="Arial" w:cs="Arial"/>
          <w:bCs/>
          <w:sz w:val="22"/>
          <w:szCs w:val="22"/>
          <w:lang w:val="en-US"/>
        </w:rPr>
        <w:t>, but leasing remains</w:t>
      </w:r>
      <w:r w:rsidR="00A64FFD" w:rsidRPr="00721CB9">
        <w:rPr>
          <w:rFonts w:ascii="Arial" w:hAnsi="Arial" w:cs="Arial"/>
          <w:bCs/>
          <w:sz w:val="22"/>
          <w:szCs w:val="22"/>
          <w:lang w:val="en-US"/>
        </w:rPr>
        <w:t xml:space="preserve"> es</w:t>
      </w:r>
      <w:r w:rsidR="00851BD4" w:rsidRPr="00721CB9">
        <w:rPr>
          <w:rFonts w:ascii="Arial" w:hAnsi="Arial" w:cs="Arial"/>
          <w:bCs/>
          <w:sz w:val="22"/>
          <w:szCs w:val="22"/>
          <w:lang w:val="en-US"/>
        </w:rPr>
        <w:t>sentially a ‘people business’”.</w:t>
      </w:r>
    </w:p>
    <w:p w14:paraId="0B1B8161" w14:textId="77777777" w:rsidR="00AA7754" w:rsidRPr="00721CB9" w:rsidRDefault="00A64FFD" w:rsidP="00AA7754">
      <w:pPr>
        <w:widowControl w:val="0"/>
        <w:autoSpaceDE w:val="0"/>
        <w:autoSpaceDN w:val="0"/>
        <w:adjustRightInd w:val="0"/>
        <w:spacing w:after="120"/>
        <w:ind w:right="-23"/>
        <w:rPr>
          <w:rFonts w:ascii="Arial" w:hAnsi="Arial" w:cs="Arial"/>
          <w:b/>
          <w:bCs/>
          <w:sz w:val="22"/>
          <w:szCs w:val="22"/>
          <w:lang w:val="en-US"/>
        </w:rPr>
      </w:pPr>
      <w:r w:rsidRPr="00721CB9">
        <w:rPr>
          <w:rFonts w:ascii="Arial" w:hAnsi="Arial" w:cs="Arial"/>
          <w:b/>
          <w:bCs/>
          <w:sz w:val="22"/>
          <w:szCs w:val="22"/>
          <w:lang w:val="en-US"/>
        </w:rPr>
        <w:t>Germany is crying out for a bold investment plan</w:t>
      </w:r>
    </w:p>
    <w:p w14:paraId="393F0CAD" w14:textId="77777777" w:rsidR="00614EBB" w:rsidRPr="00721CB9" w:rsidRDefault="0001541C" w:rsidP="00832A7D">
      <w:pPr>
        <w:widowControl w:val="0"/>
        <w:autoSpaceDE w:val="0"/>
        <w:autoSpaceDN w:val="0"/>
        <w:adjustRightInd w:val="0"/>
        <w:ind w:right="-170"/>
        <w:rPr>
          <w:rFonts w:ascii="Arial" w:hAnsi="Arial" w:cs="Arial"/>
          <w:bCs/>
          <w:sz w:val="22"/>
          <w:szCs w:val="22"/>
          <w:lang w:val="en-US"/>
        </w:rPr>
      </w:pPr>
      <w:r w:rsidRPr="00721CB9">
        <w:rPr>
          <w:rFonts w:ascii="Arial" w:hAnsi="Arial" w:cs="Arial"/>
          <w:bCs/>
          <w:sz w:val="22"/>
          <w:szCs w:val="22"/>
          <w:lang w:val="en-US"/>
        </w:rPr>
        <w:t>The leas</w:t>
      </w:r>
      <w:r w:rsidR="0052217D" w:rsidRPr="00721CB9">
        <w:rPr>
          <w:rFonts w:ascii="Arial" w:hAnsi="Arial" w:cs="Arial"/>
          <w:bCs/>
          <w:sz w:val="22"/>
          <w:szCs w:val="22"/>
          <w:lang w:val="en-US"/>
        </w:rPr>
        <w:t>ing sector expects the inflow of</w:t>
      </w:r>
      <w:r w:rsidRPr="00721CB9">
        <w:rPr>
          <w:rFonts w:ascii="Arial" w:hAnsi="Arial" w:cs="Arial"/>
          <w:bCs/>
          <w:sz w:val="22"/>
          <w:szCs w:val="22"/>
          <w:lang w:val="en-US"/>
        </w:rPr>
        <w:t xml:space="preserve"> new business to remain stable in 2020. “Given the economic outlook and the deteriorating investment climate, dramatic rates of growth seem unlikely,” explains the BDL President. “However, investment remains the key to growth, employment and, following on</w:t>
      </w:r>
      <w:r w:rsidR="0052217D" w:rsidRPr="00721CB9">
        <w:rPr>
          <w:rFonts w:ascii="Arial" w:hAnsi="Arial" w:cs="Arial"/>
          <w:bCs/>
          <w:sz w:val="22"/>
          <w:szCs w:val="22"/>
          <w:lang w:val="en-US"/>
        </w:rPr>
        <w:t xml:space="preserve"> fr</w:t>
      </w:r>
      <w:r w:rsidR="00851BD4" w:rsidRPr="00721CB9">
        <w:rPr>
          <w:rFonts w:ascii="Arial" w:hAnsi="Arial" w:cs="Arial"/>
          <w:bCs/>
          <w:sz w:val="22"/>
          <w:szCs w:val="22"/>
          <w:lang w:val="en-US"/>
        </w:rPr>
        <w:t>om that, prosperity”</w:t>
      </w:r>
      <w:r w:rsidRPr="00721CB9">
        <w:rPr>
          <w:rFonts w:ascii="Arial" w:hAnsi="Arial" w:cs="Arial"/>
          <w:bCs/>
          <w:sz w:val="22"/>
          <w:szCs w:val="22"/>
          <w:lang w:val="en-US"/>
        </w:rPr>
        <w:t xml:space="preserve">. </w:t>
      </w:r>
      <w:r w:rsidR="00A7045B" w:rsidRPr="00721CB9">
        <w:rPr>
          <w:rFonts w:ascii="Arial" w:hAnsi="Arial" w:cs="Arial"/>
          <w:bCs/>
          <w:sz w:val="22"/>
          <w:szCs w:val="22"/>
          <w:lang w:val="en-US"/>
        </w:rPr>
        <w:t>Germany, he argue</w:t>
      </w:r>
      <w:r w:rsidRPr="00721CB9">
        <w:rPr>
          <w:rFonts w:ascii="Arial" w:hAnsi="Arial" w:cs="Arial"/>
          <w:bCs/>
          <w:sz w:val="22"/>
          <w:szCs w:val="22"/>
          <w:lang w:val="en-US"/>
        </w:rPr>
        <w:t xml:space="preserve">s, is in more urgent need than ever </w:t>
      </w:r>
      <w:r w:rsidR="006D304A" w:rsidRPr="00721CB9">
        <w:rPr>
          <w:rFonts w:ascii="Arial" w:hAnsi="Arial" w:cs="Arial"/>
          <w:bCs/>
          <w:sz w:val="22"/>
          <w:szCs w:val="22"/>
          <w:lang w:val="en-US"/>
        </w:rPr>
        <w:t xml:space="preserve">of </w:t>
      </w:r>
      <w:r w:rsidRPr="00721CB9">
        <w:rPr>
          <w:rFonts w:ascii="Arial" w:hAnsi="Arial" w:cs="Arial"/>
          <w:bCs/>
          <w:sz w:val="22"/>
          <w:szCs w:val="22"/>
          <w:lang w:val="en-US"/>
        </w:rPr>
        <w:t xml:space="preserve">a bold investment plan that </w:t>
      </w:r>
      <w:r w:rsidR="006D304A" w:rsidRPr="00721CB9">
        <w:rPr>
          <w:rFonts w:ascii="Arial" w:hAnsi="Arial" w:cs="Arial"/>
          <w:bCs/>
          <w:sz w:val="22"/>
          <w:szCs w:val="22"/>
          <w:lang w:val="en-US"/>
        </w:rPr>
        <w:t>will improve investment conditions for companies</w:t>
      </w:r>
      <w:r w:rsidR="0052217D" w:rsidRPr="00721CB9">
        <w:rPr>
          <w:rFonts w:ascii="Arial" w:hAnsi="Arial" w:cs="Arial"/>
          <w:bCs/>
          <w:sz w:val="22"/>
          <w:szCs w:val="22"/>
          <w:lang w:val="en-US"/>
        </w:rPr>
        <w:t>,</w:t>
      </w:r>
      <w:r w:rsidR="006D304A" w:rsidRPr="00721CB9">
        <w:rPr>
          <w:rFonts w:ascii="Arial" w:hAnsi="Arial" w:cs="Arial"/>
          <w:bCs/>
          <w:sz w:val="22"/>
          <w:szCs w:val="22"/>
          <w:lang w:val="en-US"/>
        </w:rPr>
        <w:t xml:space="preserve"> and create incentives for investment in Germany as a </w:t>
      </w:r>
      <w:r w:rsidR="00502524" w:rsidRPr="00721CB9">
        <w:rPr>
          <w:rFonts w:ascii="Arial" w:hAnsi="Arial" w:cs="Arial"/>
          <w:bCs/>
          <w:sz w:val="22"/>
          <w:szCs w:val="22"/>
          <w:lang w:val="en-US"/>
        </w:rPr>
        <w:t xml:space="preserve">place to do </w:t>
      </w:r>
      <w:r w:rsidR="006D304A" w:rsidRPr="00721CB9">
        <w:rPr>
          <w:rFonts w:ascii="Arial" w:hAnsi="Arial" w:cs="Arial"/>
          <w:bCs/>
          <w:sz w:val="22"/>
          <w:szCs w:val="22"/>
          <w:lang w:val="en-US"/>
        </w:rPr>
        <w:t>busi</w:t>
      </w:r>
      <w:r w:rsidR="00502524" w:rsidRPr="00721CB9">
        <w:rPr>
          <w:rFonts w:ascii="Arial" w:hAnsi="Arial" w:cs="Arial"/>
          <w:bCs/>
          <w:sz w:val="22"/>
          <w:szCs w:val="22"/>
          <w:lang w:val="en-US"/>
        </w:rPr>
        <w:t>ness</w:t>
      </w:r>
      <w:r w:rsidR="006D304A" w:rsidRPr="00721CB9">
        <w:rPr>
          <w:rFonts w:ascii="Arial" w:hAnsi="Arial" w:cs="Arial"/>
          <w:bCs/>
          <w:sz w:val="22"/>
          <w:szCs w:val="22"/>
          <w:lang w:val="en-US"/>
        </w:rPr>
        <w:t xml:space="preserve">. </w:t>
      </w:r>
      <w:r w:rsidR="0052217D" w:rsidRPr="00721CB9">
        <w:rPr>
          <w:rFonts w:ascii="Arial" w:hAnsi="Arial" w:cs="Arial"/>
          <w:bCs/>
          <w:sz w:val="22"/>
          <w:szCs w:val="22"/>
          <w:lang w:val="en-US"/>
        </w:rPr>
        <w:t>Otherwise</w:t>
      </w:r>
      <w:r w:rsidR="00A7045B" w:rsidRPr="00721CB9">
        <w:rPr>
          <w:rFonts w:ascii="Arial" w:hAnsi="Arial" w:cs="Arial"/>
          <w:bCs/>
          <w:sz w:val="22"/>
          <w:szCs w:val="22"/>
          <w:lang w:val="en-US"/>
        </w:rPr>
        <w:t>, we run</w:t>
      </w:r>
      <w:r w:rsidR="006D304A" w:rsidRPr="00721CB9">
        <w:rPr>
          <w:rFonts w:ascii="Arial" w:hAnsi="Arial" w:cs="Arial"/>
          <w:bCs/>
          <w:sz w:val="22"/>
          <w:szCs w:val="22"/>
          <w:lang w:val="en-US"/>
        </w:rPr>
        <w:t xml:space="preserve"> the risk of becoming uncompetitive. </w:t>
      </w:r>
      <w:r w:rsidR="00561432" w:rsidRPr="00721CB9">
        <w:rPr>
          <w:rFonts w:ascii="Arial" w:hAnsi="Arial" w:cs="Arial"/>
          <w:bCs/>
          <w:sz w:val="22"/>
          <w:szCs w:val="22"/>
          <w:lang w:val="en-US"/>
        </w:rPr>
        <w:t>“</w:t>
      </w:r>
      <w:r w:rsidR="00A7045B" w:rsidRPr="00721CB9">
        <w:rPr>
          <w:rFonts w:ascii="Arial" w:hAnsi="Arial" w:cs="Arial"/>
          <w:bCs/>
          <w:sz w:val="22"/>
          <w:szCs w:val="22"/>
          <w:lang w:val="en-US"/>
        </w:rPr>
        <w:t>So we</w:t>
      </w:r>
      <w:r w:rsidR="006D304A" w:rsidRPr="00721CB9">
        <w:rPr>
          <w:rFonts w:ascii="Arial" w:hAnsi="Arial" w:cs="Arial"/>
          <w:bCs/>
          <w:sz w:val="22"/>
          <w:szCs w:val="22"/>
          <w:lang w:val="en-US"/>
        </w:rPr>
        <w:t xml:space="preserve"> welcome </w:t>
      </w:r>
      <w:r w:rsidR="00561432" w:rsidRPr="00721CB9">
        <w:rPr>
          <w:rFonts w:ascii="Arial" w:hAnsi="Arial" w:cs="Arial"/>
          <w:bCs/>
          <w:sz w:val="22"/>
          <w:szCs w:val="22"/>
          <w:lang w:val="en-US"/>
        </w:rPr>
        <w:t xml:space="preserve">the strategy for SMEs proposed by Federal Economics Minister Peter Altmaier. The plans he has set out </w:t>
      </w:r>
      <w:r w:rsidR="00A7045B" w:rsidRPr="00721CB9">
        <w:rPr>
          <w:rFonts w:ascii="Arial" w:hAnsi="Arial" w:cs="Arial"/>
          <w:bCs/>
          <w:sz w:val="22"/>
          <w:szCs w:val="22"/>
          <w:lang w:val="en-US"/>
        </w:rPr>
        <w:t xml:space="preserve">to </w:t>
      </w:r>
      <w:r w:rsidR="009F56E1" w:rsidRPr="00721CB9">
        <w:rPr>
          <w:rFonts w:ascii="Arial" w:hAnsi="Arial" w:cs="Arial"/>
          <w:bCs/>
          <w:sz w:val="22"/>
          <w:szCs w:val="22"/>
          <w:lang w:val="en-US"/>
        </w:rPr>
        <w:t>ease the b</w:t>
      </w:r>
      <w:r w:rsidR="00A7045B" w:rsidRPr="00721CB9">
        <w:rPr>
          <w:rFonts w:ascii="Arial" w:hAnsi="Arial" w:cs="Arial"/>
          <w:bCs/>
          <w:sz w:val="22"/>
          <w:szCs w:val="22"/>
          <w:lang w:val="en-US"/>
        </w:rPr>
        <w:t>urden</w:t>
      </w:r>
      <w:r w:rsidR="00832A7D" w:rsidRPr="00721CB9">
        <w:rPr>
          <w:rFonts w:ascii="Arial" w:hAnsi="Arial" w:cs="Arial"/>
          <w:bCs/>
          <w:sz w:val="22"/>
          <w:szCs w:val="22"/>
          <w:lang w:val="en-US"/>
        </w:rPr>
        <w:t xml:space="preserve"> </w:t>
      </w:r>
      <w:r w:rsidR="009F56E1" w:rsidRPr="00721CB9">
        <w:rPr>
          <w:rFonts w:ascii="Arial" w:hAnsi="Arial" w:cs="Arial"/>
          <w:bCs/>
          <w:sz w:val="22"/>
          <w:szCs w:val="22"/>
          <w:lang w:val="en-US"/>
        </w:rPr>
        <w:t xml:space="preserve">on </w:t>
      </w:r>
      <w:r w:rsidR="00832A7D" w:rsidRPr="00721CB9">
        <w:rPr>
          <w:rFonts w:ascii="Arial" w:hAnsi="Arial" w:cs="Arial"/>
          <w:bCs/>
          <w:sz w:val="22"/>
          <w:szCs w:val="22"/>
          <w:lang w:val="en-US"/>
        </w:rPr>
        <w:t>small and medium-sized enterprises must be implemented without fur</w:t>
      </w:r>
      <w:r w:rsidR="009F56E1" w:rsidRPr="00721CB9">
        <w:rPr>
          <w:rFonts w:ascii="Arial" w:hAnsi="Arial" w:cs="Arial"/>
          <w:bCs/>
          <w:sz w:val="22"/>
          <w:szCs w:val="22"/>
          <w:lang w:val="en-US"/>
        </w:rPr>
        <w:t>ther delay</w:t>
      </w:r>
      <w:r w:rsidR="00832A7D" w:rsidRPr="00721CB9">
        <w:rPr>
          <w:rFonts w:ascii="Arial" w:hAnsi="Arial" w:cs="Arial"/>
          <w:bCs/>
          <w:sz w:val="22"/>
          <w:szCs w:val="22"/>
          <w:lang w:val="en-US"/>
        </w:rPr>
        <w:t>”</w:t>
      </w:r>
      <w:r w:rsidR="009F56E1" w:rsidRPr="00721CB9">
        <w:rPr>
          <w:rFonts w:ascii="Arial" w:hAnsi="Arial" w:cs="Arial"/>
          <w:bCs/>
          <w:sz w:val="22"/>
          <w:szCs w:val="22"/>
          <w:lang w:val="en-US"/>
        </w:rPr>
        <w:t>.</w:t>
      </w:r>
      <w:r w:rsidR="00635AAC" w:rsidRPr="00721CB9">
        <w:rPr>
          <w:rFonts w:ascii="Arial" w:hAnsi="Arial" w:cs="Arial"/>
          <w:bCs/>
          <w:sz w:val="22"/>
          <w:szCs w:val="22"/>
          <w:lang w:val="en-US"/>
        </w:rPr>
        <w:t xml:space="preserve"> </w:t>
      </w:r>
    </w:p>
    <w:p w14:paraId="42D629A8" w14:textId="77777777" w:rsidR="008639BB" w:rsidRPr="00721CB9" w:rsidRDefault="00844E16" w:rsidP="00614EBB">
      <w:pPr>
        <w:widowControl w:val="0"/>
        <w:autoSpaceDE w:val="0"/>
        <w:autoSpaceDN w:val="0"/>
        <w:adjustRightInd w:val="0"/>
        <w:spacing w:after="120"/>
        <w:ind w:right="-172"/>
        <w:rPr>
          <w:rFonts w:ascii="Arial" w:hAnsi="Arial" w:cs="Arial"/>
          <w:b/>
          <w:bCs/>
          <w:sz w:val="22"/>
          <w:szCs w:val="22"/>
          <w:lang w:val="en-US"/>
        </w:rPr>
      </w:pPr>
      <w:r w:rsidRPr="00721CB9">
        <w:rPr>
          <w:rFonts w:ascii="Arial" w:hAnsi="Arial" w:cs="Arial"/>
          <w:b/>
          <w:bCs/>
          <w:sz w:val="22"/>
          <w:szCs w:val="22"/>
          <w:lang w:val="en-US"/>
        </w:rPr>
        <w:br w:type="column"/>
      </w:r>
      <w:r w:rsidR="008639BB" w:rsidRPr="00721CB9">
        <w:rPr>
          <w:rFonts w:ascii="Arial" w:hAnsi="Arial" w:cs="Arial"/>
          <w:b/>
          <w:bCs/>
          <w:sz w:val="22"/>
          <w:szCs w:val="22"/>
          <w:lang w:val="en-US"/>
        </w:rPr>
        <w:lastRenderedPageBreak/>
        <w:t>A</w:t>
      </w:r>
      <w:r w:rsidR="00832A7D" w:rsidRPr="00721CB9">
        <w:rPr>
          <w:rFonts w:ascii="Arial" w:hAnsi="Arial" w:cs="Arial"/>
          <w:b/>
          <w:bCs/>
          <w:sz w:val="22"/>
          <w:szCs w:val="22"/>
          <w:lang w:val="en-US"/>
        </w:rPr>
        <w:t>ppropriate levels of regulation</w:t>
      </w:r>
    </w:p>
    <w:p w14:paraId="2D08DF95" w14:textId="77777777" w:rsidR="003A4F59" w:rsidRPr="00721CB9" w:rsidRDefault="00832A7D" w:rsidP="00552ED1">
      <w:pPr>
        <w:widowControl w:val="0"/>
        <w:autoSpaceDE w:val="0"/>
        <w:autoSpaceDN w:val="0"/>
        <w:adjustRightInd w:val="0"/>
        <w:spacing w:after="120"/>
        <w:ind w:right="-170"/>
        <w:rPr>
          <w:rFonts w:ascii="Arial" w:hAnsi="Arial" w:cs="Arial"/>
          <w:b/>
          <w:bCs/>
          <w:sz w:val="22"/>
          <w:szCs w:val="22"/>
          <w:lang w:val="en-US"/>
        </w:rPr>
      </w:pPr>
      <w:r w:rsidRPr="00721CB9">
        <w:rPr>
          <w:rFonts w:ascii="Arial" w:hAnsi="Arial" w:cs="Arial"/>
          <w:bCs/>
          <w:sz w:val="22"/>
          <w:szCs w:val="22"/>
          <w:lang w:val="en-US"/>
        </w:rPr>
        <w:t xml:space="preserve">The leasing industry </w:t>
      </w:r>
      <w:r w:rsidR="007D69FB" w:rsidRPr="00721CB9">
        <w:rPr>
          <w:rFonts w:ascii="Arial" w:hAnsi="Arial" w:cs="Arial"/>
          <w:bCs/>
          <w:sz w:val="22"/>
          <w:szCs w:val="22"/>
          <w:lang w:val="en-US"/>
        </w:rPr>
        <w:t xml:space="preserve">must not be impeded in </w:t>
      </w:r>
      <w:r w:rsidR="00482F1E" w:rsidRPr="00721CB9">
        <w:rPr>
          <w:rFonts w:ascii="Arial" w:hAnsi="Arial" w:cs="Arial"/>
          <w:bCs/>
          <w:sz w:val="22"/>
          <w:szCs w:val="22"/>
          <w:lang w:val="en-US"/>
        </w:rPr>
        <w:t>its role as an investment engi</w:t>
      </w:r>
      <w:r w:rsidR="0019031A" w:rsidRPr="00721CB9">
        <w:rPr>
          <w:rFonts w:ascii="Arial" w:hAnsi="Arial" w:cs="Arial"/>
          <w:bCs/>
          <w:sz w:val="22"/>
          <w:szCs w:val="22"/>
          <w:lang w:val="en-US"/>
        </w:rPr>
        <w:t>ne through the imposition of unnecess</w:t>
      </w:r>
      <w:r w:rsidR="00C433BE" w:rsidRPr="00721CB9">
        <w:rPr>
          <w:rFonts w:ascii="Arial" w:hAnsi="Arial" w:cs="Arial"/>
          <w:bCs/>
          <w:sz w:val="22"/>
          <w:szCs w:val="22"/>
          <w:lang w:val="en-US"/>
        </w:rPr>
        <w:t>ar</w:t>
      </w:r>
      <w:r w:rsidR="00ED7686" w:rsidRPr="00721CB9">
        <w:rPr>
          <w:rFonts w:ascii="Arial" w:hAnsi="Arial" w:cs="Arial"/>
          <w:bCs/>
          <w:sz w:val="22"/>
          <w:szCs w:val="22"/>
          <w:lang w:val="en-US"/>
        </w:rPr>
        <w:t>y bureaucracy and regulations. However,</w:t>
      </w:r>
      <w:r w:rsidR="00A7045B" w:rsidRPr="00721CB9">
        <w:rPr>
          <w:rFonts w:ascii="Arial" w:hAnsi="Arial" w:cs="Arial"/>
          <w:bCs/>
          <w:sz w:val="22"/>
          <w:szCs w:val="22"/>
          <w:lang w:val="en-US"/>
        </w:rPr>
        <w:t xml:space="preserve"> t</w:t>
      </w:r>
      <w:r w:rsidR="00C433BE" w:rsidRPr="00721CB9">
        <w:rPr>
          <w:rFonts w:ascii="Arial" w:hAnsi="Arial" w:cs="Arial"/>
          <w:bCs/>
          <w:sz w:val="22"/>
          <w:szCs w:val="22"/>
          <w:lang w:val="en-US"/>
        </w:rPr>
        <w:t xml:space="preserve">he </w:t>
      </w:r>
      <w:r w:rsidR="005B72A1" w:rsidRPr="00721CB9">
        <w:rPr>
          <w:rFonts w:ascii="Arial" w:hAnsi="Arial" w:cs="Arial"/>
          <w:bCs/>
          <w:sz w:val="22"/>
          <w:szCs w:val="22"/>
          <w:lang w:val="en-US"/>
        </w:rPr>
        <w:t>regulatory pressure</w:t>
      </w:r>
      <w:r w:rsidR="00C433BE" w:rsidRPr="00721CB9">
        <w:rPr>
          <w:rFonts w:ascii="Arial" w:hAnsi="Arial" w:cs="Arial"/>
          <w:bCs/>
          <w:sz w:val="22"/>
          <w:szCs w:val="22"/>
          <w:lang w:val="en-US"/>
        </w:rPr>
        <w:t>s it has to contend with remain considerable</w:t>
      </w:r>
      <w:r w:rsidR="005B72A1" w:rsidRPr="00721CB9">
        <w:rPr>
          <w:rFonts w:ascii="Arial" w:hAnsi="Arial" w:cs="Arial"/>
          <w:bCs/>
          <w:sz w:val="22"/>
          <w:szCs w:val="22"/>
          <w:lang w:val="en-US"/>
        </w:rPr>
        <w:t xml:space="preserve">. </w:t>
      </w:r>
      <w:r w:rsidR="00EF1928" w:rsidRPr="00721CB9">
        <w:rPr>
          <w:rFonts w:ascii="Arial" w:hAnsi="Arial" w:cs="Arial"/>
          <w:bCs/>
          <w:sz w:val="22"/>
          <w:szCs w:val="22"/>
          <w:lang w:val="en-US"/>
        </w:rPr>
        <w:t>“A</w:t>
      </w:r>
      <w:r w:rsidR="00C433BE" w:rsidRPr="00721CB9">
        <w:rPr>
          <w:rFonts w:ascii="Arial" w:hAnsi="Arial" w:cs="Arial"/>
          <w:bCs/>
          <w:sz w:val="22"/>
          <w:szCs w:val="22"/>
          <w:lang w:val="en-US"/>
        </w:rPr>
        <w:t xml:space="preserve">ll of the main </w:t>
      </w:r>
      <w:r w:rsidR="0062728B" w:rsidRPr="00721CB9">
        <w:rPr>
          <w:rFonts w:ascii="Arial" w:hAnsi="Arial" w:cs="Arial"/>
          <w:bCs/>
          <w:sz w:val="22"/>
          <w:szCs w:val="22"/>
          <w:lang w:val="en-US"/>
        </w:rPr>
        <w:t>measur</w:t>
      </w:r>
      <w:r w:rsidR="005B72A1" w:rsidRPr="00721CB9">
        <w:rPr>
          <w:rFonts w:ascii="Arial" w:hAnsi="Arial" w:cs="Arial"/>
          <w:bCs/>
          <w:sz w:val="22"/>
          <w:szCs w:val="22"/>
          <w:lang w:val="en-US"/>
        </w:rPr>
        <w:t>es</w:t>
      </w:r>
      <w:r w:rsidR="00C433BE" w:rsidRPr="00721CB9">
        <w:rPr>
          <w:rFonts w:ascii="Arial" w:hAnsi="Arial" w:cs="Arial"/>
          <w:bCs/>
          <w:sz w:val="22"/>
          <w:szCs w:val="22"/>
          <w:lang w:val="en-US"/>
        </w:rPr>
        <w:t xml:space="preserve"> to regulate the activities of financial </w:t>
      </w:r>
      <w:r w:rsidR="0062728B" w:rsidRPr="00721CB9">
        <w:rPr>
          <w:rFonts w:ascii="Arial" w:hAnsi="Arial" w:cs="Arial"/>
          <w:bCs/>
          <w:sz w:val="22"/>
          <w:szCs w:val="22"/>
          <w:lang w:val="en-US"/>
        </w:rPr>
        <w:t>institutions</w:t>
      </w:r>
      <w:r w:rsidR="00C433BE" w:rsidRPr="00721CB9">
        <w:rPr>
          <w:rFonts w:ascii="Arial" w:hAnsi="Arial" w:cs="Arial"/>
          <w:bCs/>
          <w:sz w:val="22"/>
          <w:szCs w:val="22"/>
          <w:lang w:val="en-US"/>
        </w:rPr>
        <w:t xml:space="preserve"> were </w:t>
      </w:r>
      <w:r w:rsidR="0062728B" w:rsidRPr="00721CB9">
        <w:rPr>
          <w:rFonts w:ascii="Arial" w:hAnsi="Arial" w:cs="Arial"/>
          <w:bCs/>
          <w:sz w:val="22"/>
          <w:szCs w:val="22"/>
          <w:lang w:val="en-US"/>
        </w:rPr>
        <w:t>initiated</w:t>
      </w:r>
      <w:r w:rsidR="00C433BE" w:rsidRPr="00721CB9">
        <w:rPr>
          <w:rFonts w:ascii="Arial" w:hAnsi="Arial" w:cs="Arial"/>
          <w:bCs/>
          <w:sz w:val="22"/>
          <w:szCs w:val="22"/>
          <w:lang w:val="en-US"/>
        </w:rPr>
        <w:t xml:space="preserve"> </w:t>
      </w:r>
      <w:r w:rsidR="005B72A1" w:rsidRPr="00721CB9">
        <w:rPr>
          <w:rFonts w:ascii="Arial" w:hAnsi="Arial" w:cs="Arial"/>
          <w:bCs/>
          <w:sz w:val="22"/>
          <w:szCs w:val="22"/>
          <w:lang w:val="en-US"/>
        </w:rPr>
        <w:t>with major international bank</w:t>
      </w:r>
      <w:r w:rsidR="00ED7686" w:rsidRPr="00721CB9">
        <w:rPr>
          <w:rFonts w:ascii="Arial" w:hAnsi="Arial" w:cs="Arial"/>
          <w:bCs/>
          <w:sz w:val="22"/>
          <w:szCs w:val="22"/>
          <w:lang w:val="en-US"/>
        </w:rPr>
        <w:t>s in mind. The standards introduc</w:t>
      </w:r>
      <w:r w:rsidR="0062728B" w:rsidRPr="00721CB9">
        <w:rPr>
          <w:rFonts w:ascii="Arial" w:hAnsi="Arial" w:cs="Arial"/>
          <w:bCs/>
          <w:sz w:val="22"/>
          <w:szCs w:val="22"/>
          <w:lang w:val="en-US"/>
        </w:rPr>
        <w:t>e</w:t>
      </w:r>
      <w:r w:rsidR="00ED7686" w:rsidRPr="00721CB9">
        <w:rPr>
          <w:rFonts w:ascii="Arial" w:hAnsi="Arial" w:cs="Arial"/>
          <w:bCs/>
          <w:sz w:val="22"/>
          <w:szCs w:val="22"/>
          <w:lang w:val="en-US"/>
        </w:rPr>
        <w:t>d are meant</w:t>
      </w:r>
      <w:r w:rsidR="00EF1928" w:rsidRPr="00721CB9">
        <w:rPr>
          <w:rFonts w:ascii="Arial" w:hAnsi="Arial" w:cs="Arial"/>
          <w:bCs/>
          <w:sz w:val="22"/>
          <w:szCs w:val="22"/>
          <w:lang w:val="en-US"/>
        </w:rPr>
        <w:t xml:space="preserve"> to regulate the activities of these banks. But they are also imposed on medium-sized leasing co</w:t>
      </w:r>
      <w:bookmarkStart w:id="0" w:name="_GoBack"/>
      <w:bookmarkEnd w:id="0"/>
      <w:r w:rsidR="00EF1928" w:rsidRPr="00721CB9">
        <w:rPr>
          <w:rFonts w:ascii="Arial" w:hAnsi="Arial" w:cs="Arial"/>
          <w:bCs/>
          <w:sz w:val="22"/>
          <w:szCs w:val="22"/>
          <w:lang w:val="en-US"/>
        </w:rPr>
        <w:t>mpa</w:t>
      </w:r>
      <w:r w:rsidR="00ED7686" w:rsidRPr="00721CB9">
        <w:rPr>
          <w:rFonts w:ascii="Arial" w:hAnsi="Arial" w:cs="Arial"/>
          <w:bCs/>
          <w:sz w:val="22"/>
          <w:szCs w:val="22"/>
          <w:lang w:val="en-US"/>
        </w:rPr>
        <w:t>nies,” say</w:t>
      </w:r>
      <w:r w:rsidR="00A7045B" w:rsidRPr="00721CB9">
        <w:rPr>
          <w:rFonts w:ascii="Arial" w:hAnsi="Arial" w:cs="Arial"/>
          <w:bCs/>
          <w:sz w:val="22"/>
          <w:szCs w:val="22"/>
          <w:lang w:val="en-US"/>
        </w:rPr>
        <w:t>s Ostermann. L</w:t>
      </w:r>
      <w:r w:rsidR="00EF1928" w:rsidRPr="00721CB9">
        <w:rPr>
          <w:rFonts w:ascii="Arial" w:hAnsi="Arial" w:cs="Arial"/>
          <w:bCs/>
          <w:sz w:val="22"/>
          <w:szCs w:val="22"/>
          <w:lang w:val="en-US"/>
        </w:rPr>
        <w:t>easing companies</w:t>
      </w:r>
      <w:r w:rsidR="00227A36" w:rsidRPr="00721CB9">
        <w:rPr>
          <w:rFonts w:ascii="Arial" w:hAnsi="Arial" w:cs="Arial"/>
          <w:bCs/>
          <w:sz w:val="22"/>
          <w:szCs w:val="22"/>
          <w:lang w:val="en-US"/>
        </w:rPr>
        <w:t>, he points out,</w:t>
      </w:r>
      <w:r w:rsidR="00EF1928" w:rsidRPr="00721CB9">
        <w:rPr>
          <w:rFonts w:ascii="Arial" w:hAnsi="Arial" w:cs="Arial"/>
          <w:bCs/>
          <w:sz w:val="22"/>
          <w:szCs w:val="22"/>
          <w:lang w:val="en-US"/>
        </w:rPr>
        <w:t xml:space="preserve"> are not banks. </w:t>
      </w:r>
      <w:r w:rsidR="00586692" w:rsidRPr="00721CB9">
        <w:rPr>
          <w:rFonts w:ascii="Arial" w:hAnsi="Arial" w:cs="Arial"/>
          <w:bCs/>
          <w:sz w:val="22"/>
          <w:szCs w:val="22"/>
          <w:lang w:val="en-US"/>
        </w:rPr>
        <w:t>“Th</w:t>
      </w:r>
      <w:r w:rsidR="00EF1928" w:rsidRPr="00721CB9">
        <w:rPr>
          <w:rFonts w:ascii="Arial" w:hAnsi="Arial" w:cs="Arial"/>
          <w:bCs/>
          <w:sz w:val="22"/>
          <w:szCs w:val="22"/>
          <w:lang w:val="en-US"/>
        </w:rPr>
        <w:t>ey’re smaller</w:t>
      </w:r>
      <w:r w:rsidR="003A3477" w:rsidRPr="00721CB9">
        <w:rPr>
          <w:rFonts w:ascii="Arial" w:hAnsi="Arial" w:cs="Arial"/>
          <w:bCs/>
          <w:sz w:val="22"/>
          <w:szCs w:val="22"/>
          <w:lang w:val="en-US"/>
        </w:rPr>
        <w:t xml:space="preserve"> and less co</w:t>
      </w:r>
      <w:r w:rsidR="00EF1928" w:rsidRPr="00721CB9">
        <w:rPr>
          <w:rFonts w:ascii="Arial" w:hAnsi="Arial" w:cs="Arial"/>
          <w:bCs/>
          <w:sz w:val="22"/>
          <w:szCs w:val="22"/>
          <w:lang w:val="en-US"/>
        </w:rPr>
        <w:t>mplex</w:t>
      </w:r>
      <w:r w:rsidR="003A3477" w:rsidRPr="00721CB9">
        <w:rPr>
          <w:rFonts w:ascii="Arial" w:hAnsi="Arial" w:cs="Arial"/>
          <w:bCs/>
          <w:sz w:val="22"/>
          <w:szCs w:val="22"/>
          <w:lang w:val="en-US"/>
        </w:rPr>
        <w:t>. What’s more, their risk exposure is considerably low</w:t>
      </w:r>
      <w:r w:rsidR="00EF1928" w:rsidRPr="00721CB9">
        <w:rPr>
          <w:rFonts w:ascii="Arial" w:hAnsi="Arial" w:cs="Arial"/>
          <w:bCs/>
          <w:sz w:val="22"/>
          <w:szCs w:val="22"/>
          <w:lang w:val="en-US"/>
        </w:rPr>
        <w:t>e</w:t>
      </w:r>
      <w:r w:rsidR="003A3477" w:rsidRPr="00721CB9">
        <w:rPr>
          <w:rFonts w:ascii="Arial" w:hAnsi="Arial" w:cs="Arial"/>
          <w:bCs/>
          <w:sz w:val="22"/>
          <w:szCs w:val="22"/>
          <w:lang w:val="en-US"/>
        </w:rPr>
        <w:t>r</w:t>
      </w:r>
      <w:r w:rsidR="00EF1928" w:rsidRPr="00721CB9">
        <w:rPr>
          <w:rFonts w:ascii="Arial" w:hAnsi="Arial" w:cs="Arial"/>
          <w:bCs/>
          <w:sz w:val="22"/>
          <w:szCs w:val="22"/>
          <w:lang w:val="en-US"/>
        </w:rPr>
        <w:t>. A sense of proportion and a greater level of differen</w:t>
      </w:r>
      <w:r w:rsidR="0062728B" w:rsidRPr="00721CB9">
        <w:rPr>
          <w:rFonts w:ascii="Arial" w:hAnsi="Arial" w:cs="Arial"/>
          <w:bCs/>
          <w:sz w:val="22"/>
          <w:szCs w:val="22"/>
          <w:lang w:val="en-US"/>
        </w:rPr>
        <w:t>tiation are</w:t>
      </w:r>
      <w:r w:rsidR="00EF1928" w:rsidRPr="00721CB9">
        <w:rPr>
          <w:rFonts w:ascii="Arial" w:hAnsi="Arial" w:cs="Arial"/>
          <w:bCs/>
          <w:sz w:val="22"/>
          <w:szCs w:val="22"/>
          <w:lang w:val="en-US"/>
        </w:rPr>
        <w:t xml:space="preserve"> required – ideally within the framework of a regime designed specifically to meet the needs of the leasing sector</w:t>
      </w:r>
      <w:r w:rsidR="009F56E1" w:rsidRPr="00721CB9">
        <w:rPr>
          <w:rFonts w:ascii="Arial" w:hAnsi="Arial" w:cs="Arial"/>
          <w:bCs/>
          <w:sz w:val="22"/>
          <w:szCs w:val="22"/>
          <w:lang w:val="en-US"/>
        </w:rPr>
        <w:t>”.</w:t>
      </w:r>
    </w:p>
    <w:p w14:paraId="487630E5" w14:textId="77777777" w:rsidR="008B13A2" w:rsidRPr="00721CB9" w:rsidRDefault="003A3477" w:rsidP="00472FF8">
      <w:pPr>
        <w:widowControl w:val="0"/>
        <w:autoSpaceDE w:val="0"/>
        <w:autoSpaceDN w:val="0"/>
        <w:adjustRightInd w:val="0"/>
        <w:spacing w:after="120"/>
        <w:ind w:right="-23"/>
        <w:rPr>
          <w:rFonts w:ascii="Arial" w:hAnsi="Arial" w:cs="Arial"/>
          <w:b/>
          <w:bCs/>
          <w:sz w:val="22"/>
          <w:szCs w:val="22"/>
          <w:lang w:val="en-US"/>
        </w:rPr>
      </w:pPr>
      <w:r w:rsidRPr="00721CB9">
        <w:rPr>
          <w:rFonts w:ascii="Arial" w:hAnsi="Arial" w:cs="Arial"/>
          <w:b/>
          <w:bCs/>
          <w:sz w:val="22"/>
          <w:szCs w:val="22"/>
          <w:lang w:val="en-US"/>
        </w:rPr>
        <w:t>Developments in the various leasing segments</w:t>
      </w:r>
    </w:p>
    <w:p w14:paraId="793E8BE4" w14:textId="77777777" w:rsidR="00F63DBA" w:rsidRPr="00721CB9" w:rsidRDefault="003A3477" w:rsidP="002C5D4B">
      <w:pPr>
        <w:spacing w:after="120"/>
        <w:ind w:right="-29"/>
        <w:rPr>
          <w:rFonts w:ascii="Arial" w:hAnsi="Arial" w:cs="Arial"/>
          <w:bCs/>
          <w:sz w:val="22"/>
          <w:szCs w:val="22"/>
          <w:lang w:val="en-US"/>
        </w:rPr>
      </w:pPr>
      <w:r w:rsidRPr="00721CB9">
        <w:rPr>
          <w:rFonts w:ascii="Arial" w:hAnsi="Arial" w:cs="Arial"/>
          <w:bCs/>
          <w:sz w:val="22"/>
          <w:szCs w:val="22"/>
          <w:lang w:val="en-US"/>
        </w:rPr>
        <w:t xml:space="preserve">The predominant drivers of growth in 2019 were </w:t>
      </w:r>
      <w:r w:rsidRPr="00721CB9">
        <w:rPr>
          <w:rFonts w:ascii="Arial" w:hAnsi="Arial" w:cs="Arial"/>
          <w:b/>
          <w:bCs/>
          <w:sz w:val="22"/>
          <w:szCs w:val="22"/>
          <w:lang w:val="en-US"/>
        </w:rPr>
        <w:t xml:space="preserve">Vehicle and IT </w:t>
      </w:r>
      <w:r w:rsidR="00EA36CB" w:rsidRPr="00721CB9">
        <w:rPr>
          <w:rFonts w:ascii="Arial" w:hAnsi="Arial" w:cs="Arial"/>
          <w:b/>
          <w:bCs/>
          <w:sz w:val="22"/>
          <w:szCs w:val="22"/>
          <w:lang w:val="en-US"/>
        </w:rPr>
        <w:t>L</w:t>
      </w:r>
      <w:r w:rsidR="00403D84" w:rsidRPr="00721CB9">
        <w:rPr>
          <w:rFonts w:ascii="Arial" w:hAnsi="Arial" w:cs="Arial"/>
          <w:b/>
          <w:bCs/>
          <w:sz w:val="22"/>
          <w:szCs w:val="22"/>
          <w:lang w:val="en-US"/>
        </w:rPr>
        <w:t>easing</w:t>
      </w:r>
      <w:r w:rsidR="00EA36CB" w:rsidRPr="00721CB9">
        <w:rPr>
          <w:rFonts w:ascii="Arial" w:hAnsi="Arial" w:cs="Arial"/>
          <w:b/>
          <w:bCs/>
          <w:sz w:val="22"/>
          <w:szCs w:val="22"/>
          <w:lang w:val="en-US"/>
        </w:rPr>
        <w:t xml:space="preserve">. </w:t>
      </w:r>
      <w:r w:rsidR="0062728B" w:rsidRPr="00721CB9">
        <w:rPr>
          <w:rFonts w:ascii="Arial" w:hAnsi="Arial" w:cs="Arial"/>
          <w:bCs/>
          <w:sz w:val="22"/>
          <w:szCs w:val="22"/>
          <w:lang w:val="en-US"/>
        </w:rPr>
        <w:t>Vehicle leasing (</w:t>
      </w:r>
      <w:r w:rsidR="00586692" w:rsidRPr="00721CB9">
        <w:rPr>
          <w:rFonts w:ascii="Arial" w:hAnsi="Arial" w:cs="Arial"/>
          <w:bCs/>
          <w:sz w:val="22"/>
          <w:szCs w:val="22"/>
          <w:lang w:val="en-US"/>
        </w:rPr>
        <w:t xml:space="preserve">the leasing of </w:t>
      </w:r>
      <w:r w:rsidR="004F18BC" w:rsidRPr="00721CB9">
        <w:rPr>
          <w:rFonts w:ascii="Arial" w:hAnsi="Arial" w:cs="Arial"/>
          <w:bCs/>
          <w:sz w:val="22"/>
          <w:szCs w:val="22"/>
          <w:lang w:val="en-US"/>
        </w:rPr>
        <w:t>passenger</w:t>
      </w:r>
      <w:r w:rsidR="00586692" w:rsidRPr="00721CB9">
        <w:rPr>
          <w:rFonts w:ascii="Arial" w:hAnsi="Arial" w:cs="Arial"/>
          <w:bCs/>
          <w:sz w:val="22"/>
          <w:szCs w:val="22"/>
          <w:lang w:val="en-US"/>
        </w:rPr>
        <w:t xml:space="preserve"> cars and commercial vehi</w:t>
      </w:r>
      <w:r w:rsidR="0062728B" w:rsidRPr="00721CB9">
        <w:rPr>
          <w:rFonts w:ascii="Arial" w:hAnsi="Arial" w:cs="Arial"/>
          <w:bCs/>
          <w:sz w:val="22"/>
          <w:szCs w:val="22"/>
          <w:lang w:val="en-US"/>
        </w:rPr>
        <w:t>cles)</w:t>
      </w:r>
      <w:r w:rsidR="00586692" w:rsidRPr="00721CB9">
        <w:rPr>
          <w:rFonts w:ascii="Arial" w:hAnsi="Arial" w:cs="Arial"/>
          <w:bCs/>
          <w:sz w:val="22"/>
          <w:szCs w:val="22"/>
          <w:lang w:val="en-US"/>
        </w:rPr>
        <w:t xml:space="preserve"> was up by 9 percent and accounted for 78 percent of the overall leasing market. </w:t>
      </w:r>
      <w:r w:rsidR="001A363C" w:rsidRPr="00721CB9">
        <w:rPr>
          <w:rFonts w:ascii="Arial" w:hAnsi="Arial" w:cs="Arial"/>
          <w:bCs/>
          <w:sz w:val="22"/>
          <w:szCs w:val="22"/>
          <w:lang w:val="en-US"/>
        </w:rPr>
        <w:t>“The healthy increase in</w:t>
      </w:r>
      <w:r w:rsidR="0062728B" w:rsidRPr="00721CB9">
        <w:rPr>
          <w:rFonts w:ascii="Arial" w:hAnsi="Arial" w:cs="Arial"/>
          <w:bCs/>
          <w:sz w:val="22"/>
          <w:szCs w:val="22"/>
          <w:lang w:val="en-US"/>
        </w:rPr>
        <w:t xml:space="preserve"> new business in the vehicle </w:t>
      </w:r>
      <w:r w:rsidR="001A363C" w:rsidRPr="00721CB9">
        <w:rPr>
          <w:rFonts w:ascii="Arial" w:hAnsi="Arial" w:cs="Arial"/>
          <w:bCs/>
          <w:sz w:val="22"/>
          <w:szCs w:val="22"/>
          <w:lang w:val="en-US"/>
        </w:rPr>
        <w:t>sector is in part attributable to the build-up in demand created in the second half of 2018 by WLTP (Wo</w:t>
      </w:r>
      <w:r w:rsidR="001A363C" w:rsidRPr="00721CB9">
        <w:rPr>
          <w:rFonts w:ascii="Arial" w:hAnsi="Arial" w:cs="Arial"/>
          <w:sz w:val="22"/>
          <w:szCs w:val="22"/>
          <w:lang w:val="en-US"/>
        </w:rPr>
        <w:t xml:space="preserve">rldwide </w:t>
      </w:r>
      <w:proofErr w:type="spellStart"/>
      <w:r w:rsidR="001A363C" w:rsidRPr="00721CB9">
        <w:rPr>
          <w:rFonts w:ascii="Arial" w:hAnsi="Arial" w:cs="Arial"/>
          <w:sz w:val="22"/>
          <w:szCs w:val="22"/>
          <w:lang w:val="en-US"/>
        </w:rPr>
        <w:t>Harmonised</w:t>
      </w:r>
      <w:proofErr w:type="spellEnd"/>
      <w:r w:rsidR="001A363C" w:rsidRPr="00721CB9">
        <w:rPr>
          <w:rFonts w:ascii="Arial" w:hAnsi="Arial" w:cs="Arial"/>
          <w:sz w:val="22"/>
          <w:szCs w:val="22"/>
          <w:lang w:val="en-US"/>
        </w:rPr>
        <w:t xml:space="preserve"> Light Vehicle</w:t>
      </w:r>
      <w:r w:rsidR="001A363C">
        <w:rPr>
          <w:rFonts w:ascii="Arial" w:hAnsi="Arial" w:cs="Arial"/>
          <w:sz w:val="22"/>
          <w:szCs w:val="22"/>
        </w:rPr>
        <w:t xml:space="preserve"> Test Procedure) legislation,” explained the BDL President. </w:t>
      </w:r>
      <w:r w:rsidR="001A363C" w:rsidRPr="00721CB9">
        <w:rPr>
          <w:rFonts w:ascii="Arial" w:hAnsi="Arial" w:cs="Arial"/>
          <w:sz w:val="22"/>
          <w:szCs w:val="22"/>
          <w:lang w:val="en-US"/>
        </w:rPr>
        <w:t>“But</w:t>
      </w:r>
      <w:r w:rsidR="007A7979" w:rsidRPr="00721CB9">
        <w:rPr>
          <w:rFonts w:ascii="Arial" w:hAnsi="Arial" w:cs="Arial"/>
          <w:sz w:val="22"/>
          <w:szCs w:val="22"/>
          <w:lang w:val="en-US"/>
        </w:rPr>
        <w:t xml:space="preserve"> </w:t>
      </w:r>
      <w:r w:rsidR="001A363C" w:rsidRPr="00721CB9">
        <w:rPr>
          <w:rFonts w:ascii="Arial" w:hAnsi="Arial" w:cs="Arial"/>
          <w:sz w:val="22"/>
          <w:szCs w:val="22"/>
          <w:lang w:val="en-US"/>
        </w:rPr>
        <w:t>leasing</w:t>
      </w:r>
      <w:r w:rsidR="007A7979" w:rsidRPr="00721CB9">
        <w:rPr>
          <w:rFonts w:ascii="Arial" w:hAnsi="Arial" w:cs="Arial"/>
          <w:sz w:val="22"/>
          <w:szCs w:val="22"/>
          <w:lang w:val="en-US"/>
        </w:rPr>
        <w:t xml:space="preserve"> </w:t>
      </w:r>
      <w:r w:rsidR="007A7979" w:rsidRPr="00721CB9">
        <w:rPr>
          <w:rFonts w:ascii="Arial" w:hAnsi="Arial" w:cs="Arial"/>
          <w:i/>
          <w:sz w:val="22"/>
          <w:szCs w:val="22"/>
          <w:lang w:val="en-US"/>
        </w:rPr>
        <w:t>per se</w:t>
      </w:r>
      <w:r w:rsidR="007A7979" w:rsidRPr="00721CB9">
        <w:rPr>
          <w:rFonts w:ascii="Arial" w:hAnsi="Arial" w:cs="Arial"/>
          <w:sz w:val="22"/>
          <w:szCs w:val="22"/>
          <w:lang w:val="en-US"/>
        </w:rPr>
        <w:t xml:space="preserve"> – in p</w:t>
      </w:r>
      <w:r w:rsidR="001A363C" w:rsidRPr="00721CB9">
        <w:rPr>
          <w:rFonts w:ascii="Arial" w:hAnsi="Arial" w:cs="Arial"/>
          <w:sz w:val="22"/>
          <w:szCs w:val="22"/>
          <w:lang w:val="en-US"/>
        </w:rPr>
        <w:t>articular, vehic</w:t>
      </w:r>
      <w:r w:rsidR="0062728B" w:rsidRPr="00721CB9">
        <w:rPr>
          <w:rFonts w:ascii="Arial" w:hAnsi="Arial" w:cs="Arial"/>
          <w:sz w:val="22"/>
          <w:szCs w:val="22"/>
          <w:lang w:val="en-US"/>
        </w:rPr>
        <w:t>le leasing</w:t>
      </w:r>
      <w:r w:rsidR="007A7979" w:rsidRPr="00721CB9">
        <w:rPr>
          <w:rFonts w:ascii="Arial" w:hAnsi="Arial" w:cs="Arial"/>
          <w:sz w:val="22"/>
          <w:szCs w:val="22"/>
          <w:lang w:val="en-US"/>
        </w:rPr>
        <w:t xml:space="preserve"> – has clearly </w:t>
      </w:r>
      <w:r w:rsidR="001A363C" w:rsidRPr="00721CB9">
        <w:rPr>
          <w:rFonts w:ascii="Arial" w:hAnsi="Arial" w:cs="Arial"/>
          <w:sz w:val="22"/>
          <w:szCs w:val="22"/>
          <w:lang w:val="en-US"/>
        </w:rPr>
        <w:t>become more attractive than ever</w:t>
      </w:r>
      <w:r w:rsidR="007A7979" w:rsidRPr="00721CB9">
        <w:rPr>
          <w:rFonts w:ascii="Arial" w:hAnsi="Arial" w:cs="Arial"/>
          <w:sz w:val="22"/>
          <w:szCs w:val="22"/>
          <w:lang w:val="en-US"/>
        </w:rPr>
        <w:t xml:space="preserve"> for businesses</w:t>
      </w:r>
      <w:r w:rsidR="00015566" w:rsidRPr="00721CB9">
        <w:rPr>
          <w:rFonts w:ascii="Arial" w:hAnsi="Arial" w:cs="Arial"/>
          <w:sz w:val="22"/>
          <w:szCs w:val="22"/>
          <w:lang w:val="en-US"/>
        </w:rPr>
        <w:t>”. Two of every five newly registered motor vehicles are now leased. Ostermann sees the inherent flexibility of leas</w:t>
      </w:r>
      <w:r w:rsidR="007A7979" w:rsidRPr="00721CB9">
        <w:rPr>
          <w:rFonts w:ascii="Arial" w:hAnsi="Arial" w:cs="Arial"/>
          <w:sz w:val="22"/>
          <w:szCs w:val="22"/>
          <w:lang w:val="en-US"/>
        </w:rPr>
        <w:t>ing and the extra</w:t>
      </w:r>
      <w:r w:rsidR="00015566" w:rsidRPr="00721CB9">
        <w:rPr>
          <w:rFonts w:ascii="Arial" w:hAnsi="Arial" w:cs="Arial"/>
          <w:sz w:val="22"/>
          <w:szCs w:val="22"/>
          <w:lang w:val="en-US"/>
        </w:rPr>
        <w:t xml:space="preserve">s that leasing companies </w:t>
      </w:r>
      <w:r w:rsidR="007A7979" w:rsidRPr="00721CB9">
        <w:rPr>
          <w:rFonts w:ascii="Arial" w:hAnsi="Arial" w:cs="Arial"/>
          <w:sz w:val="22"/>
          <w:szCs w:val="22"/>
          <w:lang w:val="en-US"/>
        </w:rPr>
        <w:t xml:space="preserve">can </w:t>
      </w:r>
      <w:r w:rsidR="00015566" w:rsidRPr="00721CB9">
        <w:rPr>
          <w:rFonts w:ascii="Arial" w:hAnsi="Arial" w:cs="Arial"/>
          <w:sz w:val="22"/>
          <w:szCs w:val="22"/>
          <w:lang w:val="en-US"/>
        </w:rPr>
        <w:t>offer in the form of, for example, mainte</w:t>
      </w:r>
      <w:r w:rsidR="007A7979" w:rsidRPr="00721CB9">
        <w:rPr>
          <w:rFonts w:ascii="Arial" w:hAnsi="Arial" w:cs="Arial"/>
          <w:sz w:val="22"/>
          <w:szCs w:val="22"/>
          <w:lang w:val="en-US"/>
        </w:rPr>
        <w:t>nance and</w:t>
      </w:r>
      <w:r w:rsidR="00015566" w:rsidRPr="00721CB9">
        <w:rPr>
          <w:rFonts w:ascii="Arial" w:hAnsi="Arial" w:cs="Arial"/>
          <w:sz w:val="22"/>
          <w:szCs w:val="22"/>
          <w:lang w:val="en-US"/>
        </w:rPr>
        <w:t xml:space="preserve"> inspection </w:t>
      </w:r>
      <w:r w:rsidR="007A7979" w:rsidRPr="00721CB9">
        <w:rPr>
          <w:rFonts w:ascii="Arial" w:hAnsi="Arial" w:cs="Arial"/>
          <w:sz w:val="22"/>
          <w:szCs w:val="22"/>
          <w:lang w:val="en-US"/>
        </w:rPr>
        <w:t xml:space="preserve">services </w:t>
      </w:r>
      <w:r w:rsidR="00015566" w:rsidRPr="00721CB9">
        <w:rPr>
          <w:rFonts w:ascii="Arial" w:hAnsi="Arial" w:cs="Arial"/>
          <w:sz w:val="22"/>
          <w:szCs w:val="22"/>
          <w:lang w:val="en-US"/>
        </w:rPr>
        <w:t>and accident-claims man</w:t>
      </w:r>
      <w:r w:rsidR="007A7979" w:rsidRPr="00721CB9">
        <w:rPr>
          <w:rFonts w:ascii="Arial" w:hAnsi="Arial" w:cs="Arial"/>
          <w:sz w:val="22"/>
          <w:szCs w:val="22"/>
          <w:lang w:val="en-US"/>
        </w:rPr>
        <w:t>agement</w:t>
      </w:r>
      <w:r w:rsidR="00015566" w:rsidRPr="00721CB9">
        <w:rPr>
          <w:rFonts w:ascii="Arial" w:hAnsi="Arial" w:cs="Arial"/>
          <w:sz w:val="22"/>
          <w:szCs w:val="22"/>
          <w:lang w:val="en-US"/>
        </w:rPr>
        <w:t xml:space="preserve"> as the main reasons why so many companies </w:t>
      </w:r>
      <w:r w:rsidR="007A7979" w:rsidRPr="00721CB9">
        <w:rPr>
          <w:rFonts w:ascii="Arial" w:hAnsi="Arial" w:cs="Arial"/>
          <w:sz w:val="22"/>
          <w:szCs w:val="22"/>
          <w:lang w:val="en-US"/>
        </w:rPr>
        <w:t xml:space="preserve">are now </w:t>
      </w:r>
      <w:r w:rsidR="00015566" w:rsidRPr="00721CB9">
        <w:rPr>
          <w:rFonts w:ascii="Arial" w:hAnsi="Arial" w:cs="Arial"/>
          <w:sz w:val="22"/>
          <w:szCs w:val="22"/>
          <w:lang w:val="en-US"/>
        </w:rPr>
        <w:t>opt</w:t>
      </w:r>
      <w:r w:rsidR="007A7979" w:rsidRPr="00721CB9">
        <w:rPr>
          <w:rFonts w:ascii="Arial" w:hAnsi="Arial" w:cs="Arial"/>
          <w:sz w:val="22"/>
          <w:szCs w:val="22"/>
          <w:lang w:val="en-US"/>
        </w:rPr>
        <w:t>ing</w:t>
      </w:r>
      <w:r w:rsidR="00ED7686" w:rsidRPr="00721CB9">
        <w:rPr>
          <w:rFonts w:ascii="Arial" w:hAnsi="Arial" w:cs="Arial"/>
          <w:sz w:val="22"/>
          <w:szCs w:val="22"/>
          <w:lang w:val="en-US"/>
        </w:rPr>
        <w:t xml:space="preserve"> to lease their vehicles</w:t>
      </w:r>
      <w:r w:rsidR="00015566" w:rsidRPr="00721CB9">
        <w:rPr>
          <w:rFonts w:ascii="Arial" w:hAnsi="Arial" w:cs="Arial"/>
          <w:sz w:val="22"/>
          <w:szCs w:val="22"/>
          <w:lang w:val="en-US"/>
        </w:rPr>
        <w:t>.</w:t>
      </w:r>
    </w:p>
    <w:p w14:paraId="6F89ADB3" w14:textId="77777777" w:rsidR="00BD6929" w:rsidRPr="00721CB9" w:rsidRDefault="00015566" w:rsidP="00BD6929">
      <w:pPr>
        <w:widowControl w:val="0"/>
        <w:autoSpaceDE w:val="0"/>
        <w:autoSpaceDN w:val="0"/>
        <w:adjustRightInd w:val="0"/>
        <w:spacing w:after="120"/>
        <w:ind w:right="-23"/>
        <w:rPr>
          <w:rFonts w:ascii="Arial" w:hAnsi="Arial" w:cs="Arial"/>
          <w:bCs/>
          <w:sz w:val="22"/>
          <w:szCs w:val="22"/>
          <w:lang w:val="en-US"/>
        </w:rPr>
      </w:pPr>
      <w:r w:rsidRPr="00721CB9">
        <w:rPr>
          <w:rFonts w:ascii="Arial" w:hAnsi="Arial" w:cs="Arial"/>
          <w:bCs/>
          <w:sz w:val="22"/>
          <w:szCs w:val="22"/>
          <w:lang w:val="en-US"/>
        </w:rPr>
        <w:t>Leasing of</w:t>
      </w:r>
      <w:r w:rsidR="00BD6929" w:rsidRPr="00721CB9">
        <w:rPr>
          <w:rFonts w:ascii="Arial" w:hAnsi="Arial" w:cs="Arial"/>
          <w:bCs/>
          <w:sz w:val="22"/>
          <w:szCs w:val="22"/>
          <w:lang w:val="en-US"/>
        </w:rPr>
        <w:t xml:space="preserve"> </w:t>
      </w:r>
      <w:r w:rsidRPr="00721CB9">
        <w:rPr>
          <w:rFonts w:ascii="Arial" w:hAnsi="Arial" w:cs="Arial"/>
          <w:b/>
          <w:bCs/>
          <w:sz w:val="22"/>
          <w:szCs w:val="22"/>
          <w:lang w:val="en-US"/>
        </w:rPr>
        <w:t>Office Equipment</w:t>
      </w:r>
      <w:r w:rsidR="00BD6929" w:rsidRPr="00721CB9">
        <w:rPr>
          <w:rFonts w:ascii="Arial" w:hAnsi="Arial" w:cs="Arial"/>
          <w:b/>
          <w:bCs/>
          <w:sz w:val="22"/>
          <w:szCs w:val="22"/>
          <w:lang w:val="en-US"/>
        </w:rPr>
        <w:t>,</w:t>
      </w:r>
      <w:r w:rsidRPr="00721CB9">
        <w:rPr>
          <w:rFonts w:ascii="Arial" w:hAnsi="Arial" w:cs="Arial"/>
          <w:b/>
          <w:bCs/>
          <w:sz w:val="22"/>
          <w:szCs w:val="22"/>
          <w:lang w:val="en-US"/>
        </w:rPr>
        <w:t xml:space="preserve"> Computers</w:t>
      </w:r>
      <w:r w:rsidR="00BD6929" w:rsidRPr="00721CB9">
        <w:rPr>
          <w:rFonts w:ascii="Arial" w:hAnsi="Arial" w:cs="Arial"/>
          <w:b/>
          <w:bCs/>
          <w:sz w:val="22"/>
          <w:szCs w:val="22"/>
          <w:lang w:val="en-US"/>
        </w:rPr>
        <w:t>,</w:t>
      </w:r>
      <w:r w:rsidRPr="00721CB9">
        <w:rPr>
          <w:rFonts w:ascii="Arial" w:hAnsi="Arial" w:cs="Arial"/>
          <w:b/>
          <w:bCs/>
          <w:sz w:val="22"/>
          <w:szCs w:val="22"/>
          <w:lang w:val="en-US"/>
        </w:rPr>
        <w:t xml:space="preserve"> Servers</w:t>
      </w:r>
      <w:r w:rsidR="00ED7686" w:rsidRPr="00721CB9">
        <w:rPr>
          <w:rFonts w:ascii="Arial" w:hAnsi="Arial" w:cs="Arial"/>
          <w:b/>
          <w:bCs/>
          <w:sz w:val="22"/>
          <w:szCs w:val="22"/>
          <w:lang w:val="en-US"/>
        </w:rPr>
        <w:t xml:space="preserve"> a</w:t>
      </w:r>
      <w:r w:rsidR="00BD6929" w:rsidRPr="00721CB9">
        <w:rPr>
          <w:rFonts w:ascii="Arial" w:hAnsi="Arial" w:cs="Arial"/>
          <w:b/>
          <w:bCs/>
          <w:sz w:val="22"/>
          <w:szCs w:val="22"/>
          <w:lang w:val="en-US"/>
        </w:rPr>
        <w:t>nd IT</w:t>
      </w:r>
      <w:r w:rsidRPr="00721CB9">
        <w:rPr>
          <w:rFonts w:ascii="Arial" w:hAnsi="Arial" w:cs="Arial"/>
          <w:b/>
          <w:bCs/>
          <w:sz w:val="22"/>
          <w:szCs w:val="22"/>
          <w:lang w:val="en-US"/>
        </w:rPr>
        <w:t xml:space="preserve"> Equipment</w:t>
      </w:r>
      <w:r w:rsidR="00BD6929" w:rsidRPr="00721CB9">
        <w:rPr>
          <w:rFonts w:ascii="Arial" w:hAnsi="Arial" w:cs="Arial"/>
          <w:b/>
          <w:bCs/>
          <w:sz w:val="22"/>
          <w:szCs w:val="22"/>
          <w:lang w:val="en-US"/>
        </w:rPr>
        <w:t xml:space="preserve"> </w:t>
      </w:r>
      <w:r w:rsidRPr="00721CB9">
        <w:rPr>
          <w:rFonts w:ascii="Arial" w:hAnsi="Arial" w:cs="Arial"/>
          <w:bCs/>
          <w:sz w:val="22"/>
          <w:szCs w:val="22"/>
          <w:lang w:val="en-US"/>
        </w:rPr>
        <w:t>is booming again (up 13 percent</w:t>
      </w:r>
      <w:r w:rsidR="007A7979" w:rsidRPr="00721CB9">
        <w:rPr>
          <w:rFonts w:ascii="Arial" w:hAnsi="Arial" w:cs="Arial"/>
          <w:bCs/>
          <w:sz w:val="22"/>
          <w:szCs w:val="22"/>
          <w:lang w:val="en-US"/>
        </w:rPr>
        <w:t xml:space="preserve"> on the figure for 2018</w:t>
      </w:r>
      <w:r w:rsidRPr="00721CB9">
        <w:rPr>
          <w:rFonts w:ascii="Arial" w:hAnsi="Arial" w:cs="Arial"/>
          <w:bCs/>
          <w:sz w:val="22"/>
          <w:szCs w:val="22"/>
          <w:lang w:val="en-US"/>
        </w:rPr>
        <w:t xml:space="preserve">) after some years of decline and stagnation. </w:t>
      </w:r>
      <w:r w:rsidR="00AC014C" w:rsidRPr="00721CB9">
        <w:rPr>
          <w:rFonts w:ascii="Arial" w:hAnsi="Arial" w:cs="Arial"/>
          <w:bCs/>
          <w:sz w:val="22"/>
          <w:szCs w:val="22"/>
          <w:lang w:val="en-US"/>
        </w:rPr>
        <w:t>“</w:t>
      </w:r>
      <w:r w:rsidR="00EE2073" w:rsidRPr="00721CB9">
        <w:rPr>
          <w:rFonts w:ascii="Arial" w:hAnsi="Arial" w:cs="Arial"/>
          <w:bCs/>
          <w:sz w:val="22"/>
          <w:szCs w:val="22"/>
          <w:lang w:val="en-US"/>
        </w:rPr>
        <w:t xml:space="preserve">Public bodies and private </w:t>
      </w:r>
      <w:r w:rsidR="00AC014C" w:rsidRPr="00721CB9">
        <w:rPr>
          <w:rFonts w:ascii="Arial" w:hAnsi="Arial" w:cs="Arial"/>
          <w:bCs/>
          <w:sz w:val="22"/>
          <w:szCs w:val="22"/>
          <w:lang w:val="en-US"/>
        </w:rPr>
        <w:t xml:space="preserve">companies </w:t>
      </w:r>
      <w:r w:rsidR="00EE2073" w:rsidRPr="00721CB9">
        <w:rPr>
          <w:rFonts w:ascii="Arial" w:hAnsi="Arial" w:cs="Arial"/>
          <w:bCs/>
          <w:sz w:val="22"/>
          <w:szCs w:val="22"/>
          <w:lang w:val="en-US"/>
        </w:rPr>
        <w:t>had for quite some time been putting off invest</w:t>
      </w:r>
      <w:r w:rsidR="00AC014C" w:rsidRPr="00721CB9">
        <w:rPr>
          <w:rFonts w:ascii="Arial" w:hAnsi="Arial" w:cs="Arial"/>
          <w:bCs/>
          <w:sz w:val="22"/>
          <w:szCs w:val="22"/>
          <w:lang w:val="en-US"/>
        </w:rPr>
        <w:t>ment</w:t>
      </w:r>
      <w:r w:rsidR="00EE2073" w:rsidRPr="00721CB9">
        <w:rPr>
          <w:rFonts w:ascii="Arial" w:hAnsi="Arial" w:cs="Arial"/>
          <w:bCs/>
          <w:sz w:val="22"/>
          <w:szCs w:val="22"/>
          <w:lang w:val="en-US"/>
        </w:rPr>
        <w:t xml:space="preserve"> in IT</w:t>
      </w:r>
      <w:r w:rsidR="00AC014C" w:rsidRPr="00721CB9">
        <w:rPr>
          <w:rFonts w:ascii="Arial" w:hAnsi="Arial" w:cs="Arial"/>
          <w:bCs/>
          <w:sz w:val="22"/>
          <w:szCs w:val="22"/>
          <w:lang w:val="en-US"/>
        </w:rPr>
        <w:t xml:space="preserve"> systems</w:t>
      </w:r>
      <w:r w:rsidR="00ED7686" w:rsidRPr="00721CB9">
        <w:rPr>
          <w:rFonts w:ascii="Arial" w:hAnsi="Arial" w:cs="Arial"/>
          <w:bCs/>
          <w:sz w:val="22"/>
          <w:szCs w:val="22"/>
          <w:lang w:val="en-US"/>
        </w:rPr>
        <w:t>. Now, they have an enormous investment requirement</w:t>
      </w:r>
      <w:r w:rsidR="00EE2073" w:rsidRPr="00721CB9">
        <w:rPr>
          <w:rFonts w:ascii="Arial" w:hAnsi="Arial" w:cs="Arial"/>
          <w:bCs/>
          <w:sz w:val="22"/>
          <w:szCs w:val="22"/>
          <w:lang w:val="en-US"/>
        </w:rPr>
        <w:t xml:space="preserve">, particularly as </w:t>
      </w:r>
      <w:r w:rsidR="00ED7686" w:rsidRPr="00721CB9">
        <w:rPr>
          <w:rFonts w:ascii="Arial" w:hAnsi="Arial" w:cs="Arial"/>
          <w:bCs/>
          <w:sz w:val="22"/>
          <w:szCs w:val="22"/>
          <w:lang w:val="en-US"/>
        </w:rPr>
        <w:t xml:space="preserve">only </w:t>
      </w:r>
      <w:r w:rsidR="00EE2073" w:rsidRPr="00721CB9">
        <w:rPr>
          <w:rFonts w:ascii="Arial" w:hAnsi="Arial" w:cs="Arial"/>
          <w:bCs/>
          <w:sz w:val="22"/>
          <w:szCs w:val="22"/>
          <w:lang w:val="en-US"/>
        </w:rPr>
        <w:t xml:space="preserve">the </w:t>
      </w:r>
      <w:r w:rsidR="00AC014C" w:rsidRPr="00721CB9">
        <w:rPr>
          <w:rFonts w:ascii="Arial" w:hAnsi="Arial" w:cs="Arial"/>
          <w:bCs/>
          <w:sz w:val="22"/>
          <w:szCs w:val="22"/>
          <w:lang w:val="en-US"/>
        </w:rPr>
        <w:t>very latest</w:t>
      </w:r>
      <w:r w:rsidR="007A7979" w:rsidRPr="00721CB9">
        <w:rPr>
          <w:rFonts w:ascii="Arial" w:hAnsi="Arial" w:cs="Arial"/>
          <w:bCs/>
          <w:sz w:val="22"/>
          <w:szCs w:val="22"/>
          <w:lang w:val="en-US"/>
        </w:rPr>
        <w:t xml:space="preserve"> in</w:t>
      </w:r>
      <w:r w:rsidR="00AC014C" w:rsidRPr="00721CB9">
        <w:rPr>
          <w:rFonts w:ascii="Arial" w:hAnsi="Arial" w:cs="Arial"/>
          <w:bCs/>
          <w:sz w:val="22"/>
          <w:szCs w:val="22"/>
          <w:lang w:val="en-US"/>
        </w:rPr>
        <w:t xml:space="preserve"> high-performance hardware and soft</w:t>
      </w:r>
      <w:r w:rsidR="00ED7686" w:rsidRPr="00721CB9">
        <w:rPr>
          <w:rFonts w:ascii="Arial" w:hAnsi="Arial" w:cs="Arial"/>
          <w:bCs/>
          <w:sz w:val="22"/>
          <w:szCs w:val="22"/>
          <w:lang w:val="en-US"/>
        </w:rPr>
        <w:t>ware will do</w:t>
      </w:r>
      <w:r w:rsidR="00AC014C" w:rsidRPr="00721CB9">
        <w:rPr>
          <w:rFonts w:ascii="Arial" w:hAnsi="Arial" w:cs="Arial"/>
          <w:bCs/>
          <w:sz w:val="22"/>
          <w:szCs w:val="22"/>
          <w:lang w:val="en-US"/>
        </w:rPr>
        <w:t xml:space="preserve"> to</w:t>
      </w:r>
      <w:r w:rsidR="00502524" w:rsidRPr="00721CB9">
        <w:rPr>
          <w:rFonts w:ascii="Arial" w:hAnsi="Arial" w:cs="Arial"/>
          <w:bCs/>
          <w:sz w:val="22"/>
          <w:szCs w:val="22"/>
          <w:lang w:val="en-US"/>
        </w:rPr>
        <w:t xml:space="preserve"> drive</w:t>
      </w:r>
      <w:r w:rsidR="007A7979" w:rsidRPr="00721CB9">
        <w:rPr>
          <w:rFonts w:ascii="Arial" w:hAnsi="Arial" w:cs="Arial"/>
          <w:bCs/>
          <w:sz w:val="22"/>
          <w:szCs w:val="22"/>
          <w:lang w:val="en-US"/>
        </w:rPr>
        <w:t xml:space="preserve"> the ongoing </w:t>
      </w:r>
      <w:r w:rsidR="00AC014C" w:rsidRPr="00721CB9">
        <w:rPr>
          <w:rFonts w:ascii="Arial" w:hAnsi="Arial" w:cs="Arial"/>
          <w:bCs/>
          <w:sz w:val="22"/>
          <w:szCs w:val="22"/>
          <w:lang w:val="en-US"/>
        </w:rPr>
        <w:t>digitalization</w:t>
      </w:r>
      <w:r w:rsidR="007A7979" w:rsidRPr="00721CB9">
        <w:rPr>
          <w:rFonts w:ascii="Arial" w:hAnsi="Arial" w:cs="Arial"/>
          <w:bCs/>
          <w:sz w:val="22"/>
          <w:szCs w:val="22"/>
          <w:lang w:val="en-US"/>
        </w:rPr>
        <w:t xml:space="preserve"> of the business world</w:t>
      </w:r>
      <w:r w:rsidR="00AC014C" w:rsidRPr="00721CB9">
        <w:rPr>
          <w:rFonts w:ascii="Arial" w:hAnsi="Arial" w:cs="Arial"/>
          <w:bCs/>
          <w:sz w:val="22"/>
          <w:szCs w:val="22"/>
          <w:lang w:val="en-US"/>
        </w:rPr>
        <w:t>. And companies have to keep up</w:t>
      </w:r>
      <w:r w:rsidR="00682D7A" w:rsidRPr="00721CB9">
        <w:rPr>
          <w:rFonts w:ascii="Arial" w:hAnsi="Arial" w:cs="Arial"/>
          <w:bCs/>
          <w:sz w:val="22"/>
          <w:szCs w:val="22"/>
          <w:lang w:val="en-US"/>
        </w:rPr>
        <w:t xml:space="preserve"> with this</w:t>
      </w:r>
      <w:r w:rsidR="00AC014C" w:rsidRPr="00721CB9">
        <w:rPr>
          <w:rFonts w:ascii="Arial" w:hAnsi="Arial" w:cs="Arial"/>
          <w:bCs/>
          <w:sz w:val="22"/>
          <w:szCs w:val="22"/>
          <w:lang w:val="en-US"/>
        </w:rPr>
        <w:t xml:space="preserve"> </w:t>
      </w:r>
      <w:r w:rsidR="007A7979" w:rsidRPr="00721CB9">
        <w:rPr>
          <w:rFonts w:ascii="Arial" w:hAnsi="Arial" w:cs="Arial"/>
          <w:bCs/>
          <w:sz w:val="22"/>
          <w:szCs w:val="22"/>
          <w:lang w:val="en-US"/>
        </w:rPr>
        <w:t xml:space="preserve">process </w:t>
      </w:r>
      <w:r w:rsidR="00AC014C" w:rsidRPr="00721CB9">
        <w:rPr>
          <w:rFonts w:ascii="Arial" w:hAnsi="Arial" w:cs="Arial"/>
          <w:bCs/>
          <w:sz w:val="22"/>
          <w:szCs w:val="22"/>
          <w:lang w:val="en-US"/>
        </w:rPr>
        <w:t>if they want to remain competitive,” says the BDL President.</w:t>
      </w:r>
    </w:p>
    <w:p w14:paraId="0FD9A03F" w14:textId="77777777" w:rsidR="00CD0D2A" w:rsidRPr="00721CB9" w:rsidRDefault="00682D7A" w:rsidP="00CD0D2A">
      <w:pPr>
        <w:widowControl w:val="0"/>
        <w:autoSpaceDE w:val="0"/>
        <w:autoSpaceDN w:val="0"/>
        <w:adjustRightInd w:val="0"/>
        <w:spacing w:before="120" w:after="120"/>
        <w:ind w:right="-23"/>
        <w:rPr>
          <w:rFonts w:ascii="Arial" w:hAnsi="Arial" w:cs="Arial"/>
          <w:bCs/>
          <w:sz w:val="22"/>
          <w:szCs w:val="22"/>
          <w:lang w:val="en-US"/>
        </w:rPr>
      </w:pPr>
      <w:r w:rsidRPr="00721CB9">
        <w:rPr>
          <w:rFonts w:ascii="Arial" w:hAnsi="Arial" w:cs="Arial"/>
          <w:b/>
          <w:sz w:val="22"/>
          <w:szCs w:val="22"/>
          <w:lang w:val="en-US"/>
        </w:rPr>
        <w:t>Machinery L</w:t>
      </w:r>
      <w:r w:rsidR="00B72AD3" w:rsidRPr="00721CB9">
        <w:rPr>
          <w:rFonts w:ascii="Arial" w:hAnsi="Arial" w:cs="Arial"/>
          <w:b/>
          <w:sz w:val="22"/>
          <w:szCs w:val="22"/>
          <w:lang w:val="en-US"/>
        </w:rPr>
        <w:t>easing</w:t>
      </w:r>
      <w:r w:rsidR="00F62A76" w:rsidRPr="00721CB9">
        <w:rPr>
          <w:rFonts w:ascii="Arial" w:hAnsi="Arial" w:cs="Arial"/>
          <w:bCs/>
          <w:sz w:val="22"/>
          <w:szCs w:val="22"/>
          <w:lang w:val="en-US"/>
        </w:rPr>
        <w:t>, the second largest leasing segment, saw a drop of 2 percent in the value of new business acquired in 2019.</w:t>
      </w:r>
      <w:r w:rsidR="003A133C" w:rsidRPr="00721CB9">
        <w:rPr>
          <w:rFonts w:ascii="Arial" w:hAnsi="Arial" w:cs="Arial"/>
          <w:bCs/>
          <w:sz w:val="22"/>
          <w:szCs w:val="22"/>
          <w:lang w:val="en-US"/>
        </w:rPr>
        <w:t xml:space="preserve"> This is a reflection of the current state of the mechanical engineering in</w:t>
      </w:r>
      <w:r w:rsidR="00227A36" w:rsidRPr="00721CB9">
        <w:rPr>
          <w:rFonts w:ascii="Arial" w:hAnsi="Arial" w:cs="Arial"/>
          <w:bCs/>
          <w:sz w:val="22"/>
          <w:szCs w:val="22"/>
          <w:lang w:val="en-US"/>
        </w:rPr>
        <w:t>dustry, which has</w:t>
      </w:r>
      <w:r w:rsidR="00F62A76" w:rsidRPr="00721CB9">
        <w:rPr>
          <w:rFonts w:ascii="Arial" w:hAnsi="Arial" w:cs="Arial"/>
          <w:bCs/>
          <w:sz w:val="22"/>
          <w:szCs w:val="22"/>
          <w:lang w:val="en-US"/>
        </w:rPr>
        <w:t xml:space="preserve"> </w:t>
      </w:r>
      <w:r w:rsidR="00BB47F8" w:rsidRPr="00721CB9">
        <w:rPr>
          <w:rFonts w:ascii="Arial" w:hAnsi="Arial" w:cs="Arial"/>
          <w:bCs/>
          <w:sz w:val="22"/>
          <w:szCs w:val="22"/>
          <w:lang w:val="en-US"/>
        </w:rPr>
        <w:t>s</w:t>
      </w:r>
      <w:r w:rsidR="00F62A76" w:rsidRPr="00721CB9">
        <w:rPr>
          <w:rFonts w:ascii="Arial" w:hAnsi="Arial" w:cs="Arial"/>
          <w:bCs/>
          <w:sz w:val="22"/>
          <w:szCs w:val="22"/>
          <w:lang w:val="en-US"/>
        </w:rPr>
        <w:t>uffered a</w:t>
      </w:r>
      <w:r w:rsidR="00227A36" w:rsidRPr="00721CB9">
        <w:rPr>
          <w:rFonts w:ascii="Arial" w:hAnsi="Arial" w:cs="Arial"/>
          <w:bCs/>
          <w:sz w:val="22"/>
          <w:szCs w:val="22"/>
          <w:lang w:val="en-US"/>
        </w:rPr>
        <w:t>n overall</w:t>
      </w:r>
      <w:r w:rsidR="00F62A76" w:rsidRPr="00721CB9">
        <w:rPr>
          <w:rFonts w:ascii="Arial" w:hAnsi="Arial" w:cs="Arial"/>
          <w:bCs/>
          <w:sz w:val="22"/>
          <w:szCs w:val="22"/>
          <w:lang w:val="en-US"/>
        </w:rPr>
        <w:t xml:space="preserve"> decline in the</w:t>
      </w:r>
      <w:r w:rsidR="003A133C" w:rsidRPr="00721CB9">
        <w:rPr>
          <w:rFonts w:ascii="Arial" w:hAnsi="Arial" w:cs="Arial"/>
          <w:bCs/>
          <w:sz w:val="22"/>
          <w:szCs w:val="22"/>
          <w:lang w:val="en-US"/>
        </w:rPr>
        <w:t xml:space="preserve"> volume of incoming orders.</w:t>
      </w:r>
    </w:p>
    <w:tbl>
      <w:tblPr>
        <w:tblStyle w:val="TabelleRaster8"/>
        <w:tblW w:w="7822" w:type="dxa"/>
        <w:tblInd w:w="108" w:type="dxa"/>
        <w:tblLook w:val="04A0" w:firstRow="1" w:lastRow="0" w:firstColumn="1" w:lastColumn="0" w:noHBand="0" w:noVBand="1"/>
      </w:tblPr>
      <w:tblGrid>
        <w:gridCol w:w="3811"/>
        <w:gridCol w:w="4011"/>
      </w:tblGrid>
      <w:tr w:rsidR="00DC300B" w:rsidRPr="00721CB9" w14:paraId="36EA0790" w14:textId="77777777" w:rsidTr="00CD0D2A">
        <w:trPr>
          <w:cnfStyle w:val="100000000000" w:firstRow="1" w:lastRow="0" w:firstColumn="0" w:lastColumn="0" w:oddVBand="0" w:evenVBand="0" w:oddHBand="0" w:evenHBand="0" w:firstRowFirstColumn="0" w:firstRowLastColumn="0" w:lastRowFirstColumn="0" w:lastRowLastColumn="0"/>
        </w:trPr>
        <w:tc>
          <w:tcPr>
            <w:tcW w:w="7822" w:type="dxa"/>
            <w:gridSpan w:val="2"/>
          </w:tcPr>
          <w:p w14:paraId="2AE539E0" w14:textId="77777777" w:rsidR="00DC300B" w:rsidRPr="00721CB9" w:rsidRDefault="00F43FB2" w:rsidP="00CD0D2A">
            <w:pPr>
              <w:spacing w:before="120" w:after="120"/>
              <w:ind w:right="-28"/>
              <w:jc w:val="center"/>
              <w:rPr>
                <w:rFonts w:ascii="Arial" w:hAnsi="Arial" w:cs="Arial"/>
                <w:i/>
                <w:sz w:val="18"/>
                <w:szCs w:val="18"/>
                <w:lang w:val="en-US"/>
              </w:rPr>
            </w:pPr>
            <w:r w:rsidRPr="00721CB9">
              <w:rPr>
                <w:rFonts w:ascii="Arial" w:hAnsi="Arial" w:cs="Arial"/>
                <w:i/>
                <w:sz w:val="18"/>
                <w:szCs w:val="18"/>
                <w:lang w:val="en-US"/>
              </w:rPr>
              <w:t>Overview of</w:t>
            </w:r>
            <w:r w:rsidR="00DC300B" w:rsidRPr="00721CB9">
              <w:rPr>
                <w:rFonts w:ascii="Arial" w:hAnsi="Arial" w:cs="Arial"/>
                <w:i/>
                <w:sz w:val="18"/>
                <w:szCs w:val="18"/>
                <w:lang w:val="en-US"/>
              </w:rPr>
              <w:t xml:space="preserve"> </w:t>
            </w:r>
            <w:r w:rsidRPr="00721CB9">
              <w:rPr>
                <w:rFonts w:ascii="Arial" w:hAnsi="Arial" w:cs="Arial"/>
                <w:i/>
                <w:sz w:val="18"/>
                <w:szCs w:val="18"/>
                <w:lang w:val="en-US"/>
              </w:rPr>
              <w:t xml:space="preserve">the Leasing </w:t>
            </w:r>
            <w:r w:rsidR="00DC300B" w:rsidRPr="00721CB9">
              <w:rPr>
                <w:rFonts w:ascii="Arial" w:hAnsi="Arial" w:cs="Arial"/>
                <w:i/>
                <w:sz w:val="18"/>
                <w:szCs w:val="18"/>
                <w:lang w:val="en-US"/>
              </w:rPr>
              <w:t>Mark</w:t>
            </w:r>
            <w:r w:rsidRPr="00721CB9">
              <w:rPr>
                <w:rFonts w:ascii="Arial" w:hAnsi="Arial" w:cs="Arial"/>
                <w:i/>
                <w:sz w:val="18"/>
                <w:szCs w:val="18"/>
                <w:lang w:val="en-US"/>
              </w:rPr>
              <w:t>e</w:t>
            </w:r>
            <w:r w:rsidR="00DC300B" w:rsidRPr="00721CB9">
              <w:rPr>
                <w:rFonts w:ascii="Arial" w:hAnsi="Arial" w:cs="Arial"/>
                <w:i/>
                <w:sz w:val="18"/>
                <w:szCs w:val="18"/>
                <w:lang w:val="en-US"/>
              </w:rPr>
              <w:t xml:space="preserve">t </w:t>
            </w:r>
            <w:r w:rsidRPr="00721CB9">
              <w:rPr>
                <w:rFonts w:ascii="Arial" w:hAnsi="Arial" w:cs="Arial"/>
                <w:i/>
                <w:sz w:val="18"/>
                <w:szCs w:val="18"/>
                <w:lang w:val="en-US"/>
              </w:rPr>
              <w:t xml:space="preserve">in </w:t>
            </w:r>
            <w:r w:rsidR="00DC300B" w:rsidRPr="00721CB9">
              <w:rPr>
                <w:rFonts w:ascii="Arial" w:hAnsi="Arial" w:cs="Arial"/>
                <w:i/>
                <w:sz w:val="18"/>
                <w:szCs w:val="18"/>
                <w:lang w:val="en-US"/>
              </w:rPr>
              <w:t>201</w:t>
            </w:r>
            <w:r w:rsidR="001A02F7" w:rsidRPr="00721CB9">
              <w:rPr>
                <w:rFonts w:ascii="Arial" w:hAnsi="Arial" w:cs="Arial"/>
                <w:i/>
                <w:sz w:val="18"/>
                <w:szCs w:val="18"/>
                <w:lang w:val="en-US"/>
              </w:rPr>
              <w:t>9</w:t>
            </w:r>
            <w:r w:rsidRPr="00721CB9">
              <w:rPr>
                <w:rFonts w:ascii="Arial" w:hAnsi="Arial" w:cs="Arial"/>
                <w:i/>
                <w:sz w:val="18"/>
                <w:szCs w:val="18"/>
                <w:lang w:val="en-US"/>
              </w:rPr>
              <w:t xml:space="preserve"> (Projected Calculations</w:t>
            </w:r>
            <w:r w:rsidR="00DC300B" w:rsidRPr="00721CB9">
              <w:rPr>
                <w:rFonts w:ascii="Arial" w:hAnsi="Arial" w:cs="Arial"/>
                <w:i/>
                <w:sz w:val="18"/>
                <w:szCs w:val="18"/>
                <w:lang w:val="en-US"/>
              </w:rPr>
              <w:t>)</w:t>
            </w:r>
          </w:p>
        </w:tc>
      </w:tr>
      <w:tr w:rsidR="00A03F13" w14:paraId="362CC1F7" w14:textId="77777777" w:rsidTr="00552ED1">
        <w:trPr>
          <w:trHeight w:val="290"/>
        </w:trPr>
        <w:tc>
          <w:tcPr>
            <w:tcW w:w="3811" w:type="dxa"/>
            <w:shd w:val="clear" w:color="auto" w:fill="DBE5F1" w:themeFill="accent1" w:themeFillTint="33"/>
            <w:vAlign w:val="center"/>
          </w:tcPr>
          <w:p w14:paraId="4B30FA33" w14:textId="77777777" w:rsidR="00A03F13" w:rsidRPr="00CD0D2A" w:rsidRDefault="00593624" w:rsidP="00552ED1">
            <w:pPr>
              <w:spacing w:before="60" w:after="60"/>
              <w:ind w:right="-28"/>
              <w:rPr>
                <w:rFonts w:ascii="Arial" w:hAnsi="Arial" w:cs="Arial"/>
                <w:sz w:val="18"/>
                <w:szCs w:val="18"/>
              </w:rPr>
            </w:pPr>
            <w:r>
              <w:rPr>
                <w:rFonts w:ascii="Arial" w:hAnsi="Arial" w:cs="Arial"/>
                <w:sz w:val="18"/>
                <w:szCs w:val="18"/>
              </w:rPr>
              <w:t>New</w:t>
            </w:r>
            <w:r w:rsidR="00F43FB2">
              <w:rPr>
                <w:rFonts w:ascii="Arial" w:hAnsi="Arial" w:cs="Arial"/>
                <w:sz w:val="18"/>
                <w:szCs w:val="18"/>
              </w:rPr>
              <w:t xml:space="preserve"> leasing business</w:t>
            </w:r>
            <w:r w:rsidR="00A03F13" w:rsidRPr="00CD0D2A">
              <w:rPr>
                <w:rFonts w:ascii="Arial" w:hAnsi="Arial" w:cs="Arial"/>
                <w:sz w:val="18"/>
                <w:szCs w:val="18"/>
              </w:rPr>
              <w:t xml:space="preserve"> </w:t>
            </w:r>
          </w:p>
        </w:tc>
        <w:tc>
          <w:tcPr>
            <w:tcW w:w="4011" w:type="dxa"/>
            <w:shd w:val="clear" w:color="auto" w:fill="DBE5F1" w:themeFill="accent1" w:themeFillTint="33"/>
            <w:vAlign w:val="center"/>
          </w:tcPr>
          <w:p w14:paraId="30FB5D08" w14:textId="77777777" w:rsidR="00A03F13" w:rsidRPr="00CD0D2A" w:rsidRDefault="00F43FB2" w:rsidP="00552ED1">
            <w:pPr>
              <w:spacing w:before="60" w:after="60" w:line="360" w:lineRule="auto"/>
              <w:ind w:right="-108"/>
              <w:jc w:val="center"/>
              <w:rPr>
                <w:rFonts w:ascii="Arial" w:hAnsi="Arial" w:cs="Arial"/>
                <w:sz w:val="18"/>
                <w:szCs w:val="18"/>
              </w:rPr>
            </w:pPr>
            <w:r>
              <w:rPr>
                <w:rFonts w:ascii="Arial" w:hAnsi="Arial" w:cs="Arial"/>
                <w:sz w:val="18"/>
                <w:szCs w:val="18"/>
              </w:rPr>
              <w:t>65.</w:t>
            </w:r>
            <w:r w:rsidR="009D7FA0" w:rsidRPr="00CD0D2A">
              <w:rPr>
                <w:rFonts w:ascii="Arial" w:hAnsi="Arial" w:cs="Arial"/>
                <w:sz w:val="18"/>
                <w:szCs w:val="18"/>
              </w:rPr>
              <w:t>3</w:t>
            </w:r>
            <w:r w:rsidR="00A03F13" w:rsidRPr="00CD0D2A">
              <w:rPr>
                <w:rFonts w:ascii="Arial" w:hAnsi="Arial" w:cs="Arial"/>
                <w:sz w:val="18"/>
                <w:szCs w:val="18"/>
              </w:rPr>
              <w:t xml:space="preserve"> </w:t>
            </w:r>
            <w:r>
              <w:rPr>
                <w:rFonts w:ascii="Arial" w:hAnsi="Arial" w:cs="Arial"/>
                <w:sz w:val="18"/>
                <w:szCs w:val="18"/>
              </w:rPr>
              <w:t>billion</w:t>
            </w:r>
            <w:r w:rsidR="00A03F13" w:rsidRPr="00CD0D2A">
              <w:rPr>
                <w:rFonts w:ascii="Arial" w:hAnsi="Arial" w:cs="Arial"/>
                <w:sz w:val="18"/>
                <w:szCs w:val="18"/>
              </w:rPr>
              <w:t xml:space="preserve"> </w:t>
            </w:r>
            <w:r w:rsidR="00502524">
              <w:rPr>
                <w:rFonts w:ascii="Arial" w:hAnsi="Arial" w:cs="Arial"/>
                <w:sz w:val="18"/>
                <w:szCs w:val="18"/>
              </w:rPr>
              <w:t>euro</w:t>
            </w:r>
            <w:r w:rsidR="00A03F13" w:rsidRPr="00CD0D2A">
              <w:rPr>
                <w:rFonts w:ascii="Arial" w:hAnsi="Arial" w:cs="Arial"/>
                <w:sz w:val="18"/>
                <w:szCs w:val="18"/>
              </w:rPr>
              <w:t xml:space="preserve"> (</w:t>
            </w:r>
            <w:r w:rsidR="0093308D" w:rsidRPr="00CD0D2A">
              <w:rPr>
                <w:rFonts w:ascii="Arial" w:hAnsi="Arial" w:cs="Arial"/>
                <w:sz w:val="18"/>
                <w:szCs w:val="18"/>
              </w:rPr>
              <w:t>+</w:t>
            </w:r>
            <w:r>
              <w:rPr>
                <w:rFonts w:ascii="Arial" w:hAnsi="Arial" w:cs="Arial"/>
                <w:sz w:val="18"/>
                <w:szCs w:val="18"/>
              </w:rPr>
              <w:t>8.</w:t>
            </w:r>
            <w:r w:rsidR="009D7FA0" w:rsidRPr="00CD0D2A">
              <w:rPr>
                <w:rFonts w:ascii="Arial" w:hAnsi="Arial" w:cs="Arial"/>
                <w:sz w:val="18"/>
                <w:szCs w:val="18"/>
              </w:rPr>
              <w:t>7</w:t>
            </w:r>
            <w:r w:rsidR="00CD0D2A">
              <w:rPr>
                <w:rFonts w:ascii="Arial" w:hAnsi="Arial" w:cs="Arial"/>
                <w:sz w:val="18"/>
                <w:szCs w:val="18"/>
              </w:rPr>
              <w:t xml:space="preserve"> %</w:t>
            </w:r>
            <w:r w:rsidR="00A03F13" w:rsidRPr="00CD0D2A">
              <w:rPr>
                <w:rFonts w:ascii="Arial" w:hAnsi="Arial" w:cs="Arial"/>
                <w:sz w:val="18"/>
                <w:szCs w:val="18"/>
              </w:rPr>
              <w:t>)</w:t>
            </w:r>
          </w:p>
        </w:tc>
      </w:tr>
      <w:tr w:rsidR="00A03F13" w14:paraId="25C4EAE1" w14:textId="77777777" w:rsidTr="00CD0D2A">
        <w:trPr>
          <w:trHeight w:val="352"/>
        </w:trPr>
        <w:tc>
          <w:tcPr>
            <w:tcW w:w="3811" w:type="dxa"/>
            <w:shd w:val="clear" w:color="auto" w:fill="DBE5F1" w:themeFill="accent1" w:themeFillTint="33"/>
            <w:vAlign w:val="center"/>
          </w:tcPr>
          <w:p w14:paraId="6E19F433" w14:textId="77777777" w:rsidR="00A03F13" w:rsidRPr="00CD0D2A" w:rsidRDefault="00F43FB2" w:rsidP="003F6556">
            <w:pPr>
              <w:rPr>
                <w:rFonts w:ascii="Arial" w:hAnsi="Arial" w:cs="Arial"/>
                <w:sz w:val="18"/>
                <w:szCs w:val="18"/>
              </w:rPr>
            </w:pPr>
            <w:r>
              <w:rPr>
                <w:rFonts w:ascii="Arial" w:hAnsi="Arial" w:cs="Arial"/>
                <w:sz w:val="18"/>
                <w:szCs w:val="18"/>
              </w:rPr>
              <w:t>Hire purchase</w:t>
            </w:r>
          </w:p>
        </w:tc>
        <w:tc>
          <w:tcPr>
            <w:tcW w:w="4011" w:type="dxa"/>
            <w:shd w:val="clear" w:color="auto" w:fill="DBE5F1" w:themeFill="accent1" w:themeFillTint="33"/>
            <w:vAlign w:val="center"/>
          </w:tcPr>
          <w:p w14:paraId="74BA2FB3" w14:textId="77777777" w:rsidR="00A03F13" w:rsidRPr="00CD0D2A" w:rsidRDefault="00F43FB2" w:rsidP="00CD0D2A">
            <w:pPr>
              <w:ind w:right="-107"/>
              <w:jc w:val="center"/>
              <w:rPr>
                <w:rFonts w:ascii="Arial" w:hAnsi="Arial" w:cs="Arial"/>
                <w:sz w:val="18"/>
                <w:szCs w:val="18"/>
              </w:rPr>
            </w:pPr>
            <w:r>
              <w:rPr>
                <w:rFonts w:ascii="Arial" w:hAnsi="Arial" w:cs="Arial"/>
                <w:sz w:val="18"/>
                <w:szCs w:val="18"/>
              </w:rPr>
              <w:t>9.</w:t>
            </w:r>
            <w:r w:rsidR="009D7FA0" w:rsidRPr="00CD0D2A">
              <w:rPr>
                <w:rFonts w:ascii="Arial" w:hAnsi="Arial" w:cs="Arial"/>
                <w:sz w:val="18"/>
                <w:szCs w:val="18"/>
              </w:rPr>
              <w:t>1</w:t>
            </w:r>
            <w:r w:rsidR="00A03F13" w:rsidRPr="00CD0D2A">
              <w:rPr>
                <w:rFonts w:ascii="Arial" w:hAnsi="Arial" w:cs="Arial"/>
                <w:sz w:val="18"/>
                <w:szCs w:val="18"/>
              </w:rPr>
              <w:t xml:space="preserve"> </w:t>
            </w:r>
            <w:r>
              <w:rPr>
                <w:rFonts w:ascii="Arial" w:hAnsi="Arial" w:cs="Arial"/>
                <w:sz w:val="18"/>
                <w:szCs w:val="18"/>
              </w:rPr>
              <w:t>billion</w:t>
            </w:r>
            <w:r w:rsidR="00A03F13" w:rsidRPr="00CD0D2A">
              <w:rPr>
                <w:rFonts w:ascii="Arial" w:hAnsi="Arial" w:cs="Arial"/>
                <w:sz w:val="18"/>
                <w:szCs w:val="18"/>
              </w:rPr>
              <w:t xml:space="preserve"> </w:t>
            </w:r>
            <w:r w:rsidR="00502524">
              <w:rPr>
                <w:rFonts w:ascii="Arial" w:hAnsi="Arial" w:cs="Arial"/>
                <w:sz w:val="18"/>
                <w:szCs w:val="18"/>
              </w:rPr>
              <w:t>euro</w:t>
            </w:r>
            <w:r w:rsidR="00A03F13" w:rsidRPr="00CD0D2A">
              <w:rPr>
                <w:rFonts w:ascii="Arial" w:hAnsi="Arial" w:cs="Arial"/>
                <w:sz w:val="18"/>
                <w:szCs w:val="18"/>
              </w:rPr>
              <w:t xml:space="preserve"> (</w:t>
            </w:r>
            <w:r w:rsidR="009D7FA0" w:rsidRPr="00CD0D2A">
              <w:rPr>
                <w:rFonts w:ascii="Arial" w:hAnsi="Arial" w:cs="Arial"/>
                <w:sz w:val="18"/>
                <w:szCs w:val="18"/>
              </w:rPr>
              <w:t>0</w:t>
            </w:r>
            <w:r>
              <w:rPr>
                <w:rFonts w:ascii="Arial" w:hAnsi="Arial" w:cs="Arial"/>
                <w:sz w:val="18"/>
                <w:szCs w:val="18"/>
              </w:rPr>
              <w:t>.</w:t>
            </w:r>
            <w:r w:rsidR="00CD0D2A">
              <w:rPr>
                <w:rFonts w:ascii="Arial" w:hAnsi="Arial" w:cs="Arial"/>
                <w:sz w:val="18"/>
                <w:szCs w:val="18"/>
              </w:rPr>
              <w:t>0</w:t>
            </w:r>
            <w:r w:rsidR="00517495" w:rsidRPr="00CD0D2A">
              <w:rPr>
                <w:rFonts w:ascii="Arial" w:hAnsi="Arial" w:cs="Arial"/>
                <w:sz w:val="18"/>
                <w:szCs w:val="18"/>
              </w:rPr>
              <w:t xml:space="preserve"> </w:t>
            </w:r>
            <w:r w:rsidR="00A03F13" w:rsidRPr="00CD0D2A">
              <w:rPr>
                <w:rFonts w:ascii="Arial" w:hAnsi="Arial" w:cs="Arial"/>
                <w:sz w:val="18"/>
                <w:szCs w:val="18"/>
              </w:rPr>
              <w:t>%)</w:t>
            </w:r>
          </w:p>
        </w:tc>
      </w:tr>
      <w:tr w:rsidR="00A03F13" w14:paraId="743A5910" w14:textId="77777777" w:rsidTr="00CD0D2A">
        <w:trPr>
          <w:trHeight w:val="482"/>
        </w:trPr>
        <w:tc>
          <w:tcPr>
            <w:tcW w:w="3811" w:type="dxa"/>
            <w:shd w:val="clear" w:color="auto" w:fill="DBE5F1" w:themeFill="accent1" w:themeFillTint="33"/>
            <w:vAlign w:val="center"/>
          </w:tcPr>
          <w:p w14:paraId="0E736F2A" w14:textId="77777777" w:rsidR="00A03F13" w:rsidRPr="00721CB9" w:rsidRDefault="00F43FB2" w:rsidP="003F6556">
            <w:pPr>
              <w:spacing w:after="60"/>
              <w:ind w:right="-28"/>
              <w:contextualSpacing/>
              <w:rPr>
                <w:rFonts w:ascii="Arial" w:hAnsi="Arial" w:cs="Arial"/>
                <w:sz w:val="18"/>
                <w:szCs w:val="18"/>
                <w:lang w:val="en-US"/>
              </w:rPr>
            </w:pPr>
            <w:r w:rsidRPr="00721CB9">
              <w:rPr>
                <w:rFonts w:ascii="Arial" w:hAnsi="Arial" w:cs="Arial"/>
                <w:sz w:val="18"/>
                <w:szCs w:val="18"/>
                <w:lang w:val="en-US"/>
              </w:rPr>
              <w:t>Equipment l</w:t>
            </w:r>
            <w:r w:rsidR="00A03F13" w:rsidRPr="00721CB9">
              <w:rPr>
                <w:rFonts w:ascii="Arial" w:hAnsi="Arial" w:cs="Arial"/>
                <w:sz w:val="18"/>
                <w:szCs w:val="18"/>
                <w:lang w:val="en-US"/>
              </w:rPr>
              <w:t>easing</w:t>
            </w:r>
          </w:p>
          <w:p w14:paraId="7D7C6549" w14:textId="77777777" w:rsidR="00A03F13" w:rsidRPr="00721CB9" w:rsidRDefault="00F43FB2" w:rsidP="003F6556">
            <w:pPr>
              <w:spacing w:after="60"/>
              <w:ind w:right="-28"/>
              <w:contextualSpacing/>
              <w:rPr>
                <w:rFonts w:ascii="Arial" w:hAnsi="Arial" w:cs="Arial"/>
                <w:sz w:val="18"/>
                <w:szCs w:val="18"/>
                <w:lang w:val="en-US"/>
              </w:rPr>
            </w:pPr>
            <w:r w:rsidRPr="00721CB9">
              <w:rPr>
                <w:rFonts w:ascii="Arial" w:hAnsi="Arial" w:cs="Arial"/>
                <w:sz w:val="18"/>
                <w:szCs w:val="18"/>
                <w:lang w:val="en-US"/>
              </w:rPr>
              <w:t>Real-estate l</w:t>
            </w:r>
            <w:r w:rsidR="00A03F13" w:rsidRPr="00721CB9">
              <w:rPr>
                <w:rFonts w:ascii="Arial" w:hAnsi="Arial" w:cs="Arial"/>
                <w:sz w:val="18"/>
                <w:szCs w:val="18"/>
                <w:lang w:val="en-US"/>
              </w:rPr>
              <w:t>easing</w:t>
            </w:r>
          </w:p>
        </w:tc>
        <w:tc>
          <w:tcPr>
            <w:tcW w:w="4011" w:type="dxa"/>
            <w:shd w:val="clear" w:color="auto" w:fill="DBE5F1" w:themeFill="accent1" w:themeFillTint="33"/>
            <w:vAlign w:val="center"/>
          </w:tcPr>
          <w:p w14:paraId="2846A937" w14:textId="77777777" w:rsidR="00A36F60" w:rsidRPr="00CD0D2A" w:rsidRDefault="00593624" w:rsidP="00CD0D2A">
            <w:pPr>
              <w:spacing w:after="60"/>
              <w:ind w:right="-107"/>
              <w:contextualSpacing/>
              <w:jc w:val="center"/>
              <w:rPr>
                <w:rFonts w:ascii="Arial" w:hAnsi="Arial" w:cs="Arial"/>
                <w:sz w:val="18"/>
                <w:szCs w:val="18"/>
              </w:rPr>
            </w:pPr>
            <w:r>
              <w:rPr>
                <w:rFonts w:ascii="Arial" w:hAnsi="Arial" w:cs="Arial"/>
                <w:sz w:val="18"/>
                <w:szCs w:val="18"/>
              </w:rPr>
              <w:t>63.</w:t>
            </w:r>
            <w:r w:rsidR="00C23103" w:rsidRPr="00CD0D2A">
              <w:rPr>
                <w:rFonts w:ascii="Arial" w:hAnsi="Arial" w:cs="Arial"/>
                <w:sz w:val="18"/>
                <w:szCs w:val="18"/>
              </w:rPr>
              <w:t>8</w:t>
            </w:r>
            <w:r w:rsidR="00A03F13" w:rsidRPr="00CD0D2A">
              <w:rPr>
                <w:rFonts w:ascii="Arial" w:hAnsi="Arial" w:cs="Arial"/>
                <w:sz w:val="18"/>
                <w:szCs w:val="18"/>
              </w:rPr>
              <w:t xml:space="preserve"> </w:t>
            </w:r>
            <w:r w:rsidR="00F43FB2">
              <w:rPr>
                <w:rFonts w:ascii="Arial" w:hAnsi="Arial" w:cs="Arial"/>
                <w:sz w:val="18"/>
                <w:szCs w:val="18"/>
              </w:rPr>
              <w:t>billion</w:t>
            </w:r>
            <w:r w:rsidR="00A03F13" w:rsidRPr="00CD0D2A">
              <w:rPr>
                <w:rFonts w:ascii="Arial" w:hAnsi="Arial" w:cs="Arial"/>
                <w:sz w:val="18"/>
                <w:szCs w:val="18"/>
              </w:rPr>
              <w:t xml:space="preserve"> </w:t>
            </w:r>
            <w:r w:rsidR="00502524">
              <w:rPr>
                <w:rFonts w:ascii="Arial" w:hAnsi="Arial" w:cs="Arial"/>
                <w:sz w:val="18"/>
                <w:szCs w:val="18"/>
              </w:rPr>
              <w:t>euro</w:t>
            </w:r>
            <w:r w:rsidR="00A03F13" w:rsidRPr="00CD0D2A">
              <w:rPr>
                <w:rFonts w:ascii="Arial" w:hAnsi="Arial" w:cs="Arial"/>
                <w:sz w:val="18"/>
                <w:szCs w:val="18"/>
              </w:rPr>
              <w:t xml:space="preserve"> (</w:t>
            </w:r>
            <w:r w:rsidR="0093308D" w:rsidRPr="00CD0D2A">
              <w:rPr>
                <w:rFonts w:ascii="Arial" w:hAnsi="Arial" w:cs="Arial"/>
                <w:sz w:val="18"/>
                <w:szCs w:val="18"/>
              </w:rPr>
              <w:t>+</w:t>
            </w:r>
            <w:r w:rsidR="00F43FB2">
              <w:rPr>
                <w:rFonts w:ascii="Arial" w:hAnsi="Arial" w:cs="Arial"/>
                <w:sz w:val="18"/>
                <w:szCs w:val="18"/>
              </w:rPr>
              <w:t>8.</w:t>
            </w:r>
            <w:r w:rsidR="00C23103" w:rsidRPr="00CD0D2A">
              <w:rPr>
                <w:rFonts w:ascii="Arial" w:hAnsi="Arial" w:cs="Arial"/>
                <w:sz w:val="18"/>
                <w:szCs w:val="18"/>
              </w:rPr>
              <w:t>7</w:t>
            </w:r>
            <w:r w:rsidR="00CD0D2A">
              <w:rPr>
                <w:rFonts w:ascii="Arial" w:hAnsi="Arial" w:cs="Arial"/>
                <w:sz w:val="18"/>
                <w:szCs w:val="18"/>
              </w:rPr>
              <w:t xml:space="preserve"> </w:t>
            </w:r>
            <w:r w:rsidR="00A03F13" w:rsidRPr="00CD0D2A">
              <w:rPr>
                <w:rFonts w:ascii="Arial" w:hAnsi="Arial" w:cs="Arial"/>
                <w:sz w:val="18"/>
                <w:szCs w:val="18"/>
              </w:rPr>
              <w:t>%)</w:t>
            </w:r>
          </w:p>
          <w:p w14:paraId="39D67B06" w14:textId="77777777" w:rsidR="00A03F13" w:rsidRPr="00CD0D2A" w:rsidRDefault="00593624" w:rsidP="00CD0D2A">
            <w:pPr>
              <w:spacing w:after="60"/>
              <w:ind w:right="-107"/>
              <w:contextualSpacing/>
              <w:jc w:val="center"/>
              <w:rPr>
                <w:rFonts w:ascii="Arial" w:hAnsi="Arial" w:cs="Arial"/>
                <w:sz w:val="18"/>
                <w:szCs w:val="18"/>
              </w:rPr>
            </w:pPr>
            <w:r>
              <w:rPr>
                <w:rFonts w:ascii="Arial" w:hAnsi="Arial" w:cs="Arial"/>
                <w:sz w:val="18"/>
                <w:szCs w:val="18"/>
              </w:rPr>
              <w:t>1.</w:t>
            </w:r>
            <w:r w:rsidR="00C23103" w:rsidRPr="00CD0D2A">
              <w:rPr>
                <w:rFonts w:ascii="Arial" w:hAnsi="Arial" w:cs="Arial"/>
                <w:sz w:val="18"/>
                <w:szCs w:val="18"/>
              </w:rPr>
              <w:t>5</w:t>
            </w:r>
            <w:r w:rsidR="00A03F13" w:rsidRPr="00CD0D2A">
              <w:rPr>
                <w:rFonts w:ascii="Arial" w:hAnsi="Arial" w:cs="Arial"/>
                <w:sz w:val="18"/>
                <w:szCs w:val="18"/>
              </w:rPr>
              <w:t xml:space="preserve"> </w:t>
            </w:r>
            <w:r w:rsidR="00F43FB2">
              <w:rPr>
                <w:rFonts w:ascii="Arial" w:hAnsi="Arial" w:cs="Arial"/>
                <w:sz w:val="18"/>
                <w:szCs w:val="18"/>
              </w:rPr>
              <w:t>billion</w:t>
            </w:r>
            <w:r w:rsidR="00A03F13" w:rsidRPr="00CD0D2A">
              <w:rPr>
                <w:rFonts w:ascii="Arial" w:hAnsi="Arial" w:cs="Arial"/>
                <w:sz w:val="18"/>
                <w:szCs w:val="18"/>
              </w:rPr>
              <w:t xml:space="preserve"> </w:t>
            </w:r>
            <w:r w:rsidR="00502524">
              <w:rPr>
                <w:rFonts w:ascii="Arial" w:hAnsi="Arial" w:cs="Arial"/>
                <w:sz w:val="18"/>
                <w:szCs w:val="18"/>
              </w:rPr>
              <w:t>euro</w:t>
            </w:r>
            <w:r w:rsidR="00A03F13" w:rsidRPr="00CD0D2A">
              <w:rPr>
                <w:rFonts w:ascii="Arial" w:hAnsi="Arial" w:cs="Arial"/>
                <w:sz w:val="18"/>
                <w:szCs w:val="18"/>
              </w:rPr>
              <w:t xml:space="preserve"> </w:t>
            </w:r>
            <w:r w:rsidR="00C23103" w:rsidRPr="00CD0D2A">
              <w:rPr>
                <w:rFonts w:ascii="Arial" w:hAnsi="Arial" w:cs="Arial"/>
                <w:sz w:val="18"/>
                <w:szCs w:val="18"/>
              </w:rPr>
              <w:t>(</w:t>
            </w:r>
            <w:r w:rsidR="00CD0D2A">
              <w:rPr>
                <w:rFonts w:ascii="Arial" w:hAnsi="Arial" w:cs="Arial"/>
                <w:sz w:val="18"/>
                <w:szCs w:val="18"/>
              </w:rPr>
              <w:t>+</w:t>
            </w:r>
            <w:r w:rsidR="00F43FB2">
              <w:rPr>
                <w:rFonts w:ascii="Arial" w:hAnsi="Arial" w:cs="Arial"/>
                <w:sz w:val="18"/>
                <w:szCs w:val="18"/>
              </w:rPr>
              <w:t>6.</w:t>
            </w:r>
            <w:r w:rsidR="00C23103" w:rsidRPr="00CD0D2A">
              <w:rPr>
                <w:rFonts w:ascii="Arial" w:hAnsi="Arial" w:cs="Arial"/>
                <w:sz w:val="18"/>
                <w:szCs w:val="18"/>
              </w:rPr>
              <w:t>4</w:t>
            </w:r>
            <w:r w:rsidR="000970DF" w:rsidRPr="00CD0D2A">
              <w:rPr>
                <w:rFonts w:ascii="Arial" w:hAnsi="Arial" w:cs="Arial"/>
                <w:sz w:val="18"/>
                <w:szCs w:val="18"/>
              </w:rPr>
              <w:t xml:space="preserve"> </w:t>
            </w:r>
            <w:r w:rsidR="00A03F13" w:rsidRPr="00CD0D2A">
              <w:rPr>
                <w:rFonts w:ascii="Arial" w:hAnsi="Arial" w:cs="Arial"/>
                <w:sz w:val="18"/>
                <w:szCs w:val="18"/>
              </w:rPr>
              <w:t>%)</w:t>
            </w:r>
          </w:p>
        </w:tc>
      </w:tr>
      <w:tr w:rsidR="00A03F13" w14:paraId="3A06BF80" w14:textId="77777777" w:rsidTr="00CD0D2A">
        <w:trPr>
          <w:trHeight w:val="647"/>
        </w:trPr>
        <w:tc>
          <w:tcPr>
            <w:tcW w:w="3811" w:type="dxa"/>
            <w:shd w:val="clear" w:color="auto" w:fill="DBE5F1" w:themeFill="accent1" w:themeFillTint="33"/>
            <w:vAlign w:val="center"/>
          </w:tcPr>
          <w:p w14:paraId="7D77AA61" w14:textId="77777777" w:rsidR="00A03F13" w:rsidRPr="00721CB9" w:rsidRDefault="00F43FB2" w:rsidP="00552ED1">
            <w:pPr>
              <w:spacing w:before="60"/>
              <w:ind w:right="-28"/>
              <w:rPr>
                <w:rFonts w:ascii="Arial" w:hAnsi="Arial" w:cs="Arial"/>
                <w:sz w:val="18"/>
                <w:szCs w:val="18"/>
                <w:lang w:val="en-US"/>
              </w:rPr>
            </w:pPr>
            <w:r w:rsidRPr="00721CB9">
              <w:rPr>
                <w:rFonts w:ascii="Arial" w:hAnsi="Arial" w:cs="Arial"/>
                <w:sz w:val="18"/>
                <w:szCs w:val="18"/>
                <w:lang w:val="en-US"/>
              </w:rPr>
              <w:t>Overall leasing penetration rate</w:t>
            </w:r>
          </w:p>
          <w:p w14:paraId="72D036E8" w14:textId="77777777" w:rsidR="00A03F13" w:rsidRPr="00721CB9" w:rsidRDefault="00BB47F8" w:rsidP="003F6556">
            <w:pPr>
              <w:spacing w:after="60"/>
              <w:ind w:right="-28"/>
              <w:contextualSpacing/>
              <w:rPr>
                <w:rFonts w:ascii="Arial" w:hAnsi="Arial" w:cs="Arial"/>
                <w:sz w:val="18"/>
                <w:szCs w:val="18"/>
                <w:lang w:val="en-US"/>
              </w:rPr>
            </w:pPr>
            <w:r w:rsidRPr="00721CB9">
              <w:rPr>
                <w:rFonts w:ascii="Arial" w:hAnsi="Arial" w:cs="Arial"/>
                <w:sz w:val="18"/>
                <w:szCs w:val="18"/>
                <w:lang w:val="en-US"/>
              </w:rPr>
              <w:t>E</w:t>
            </w:r>
            <w:r w:rsidR="00F43FB2" w:rsidRPr="00721CB9">
              <w:rPr>
                <w:rFonts w:ascii="Arial" w:hAnsi="Arial" w:cs="Arial"/>
                <w:sz w:val="18"/>
                <w:szCs w:val="18"/>
                <w:lang w:val="en-US"/>
              </w:rPr>
              <w:t>quipment</w:t>
            </w:r>
            <w:r w:rsidRPr="00721CB9">
              <w:rPr>
                <w:rFonts w:ascii="Arial" w:hAnsi="Arial" w:cs="Arial"/>
                <w:sz w:val="18"/>
                <w:szCs w:val="18"/>
                <w:lang w:val="en-US"/>
              </w:rPr>
              <w:t>-leasing penetration rate</w:t>
            </w:r>
          </w:p>
        </w:tc>
        <w:tc>
          <w:tcPr>
            <w:tcW w:w="4011" w:type="dxa"/>
            <w:shd w:val="clear" w:color="auto" w:fill="DBE5F1" w:themeFill="accent1" w:themeFillTint="33"/>
            <w:vAlign w:val="center"/>
          </w:tcPr>
          <w:p w14:paraId="38D7633C" w14:textId="77777777" w:rsidR="00A03F13" w:rsidRPr="00CD0D2A" w:rsidRDefault="00F43FB2" w:rsidP="00CD0D2A">
            <w:pPr>
              <w:spacing w:after="60"/>
              <w:ind w:right="-107"/>
              <w:contextualSpacing/>
              <w:jc w:val="center"/>
              <w:rPr>
                <w:rFonts w:ascii="Arial" w:hAnsi="Arial" w:cs="Arial"/>
                <w:sz w:val="18"/>
                <w:szCs w:val="18"/>
              </w:rPr>
            </w:pPr>
            <w:r>
              <w:rPr>
                <w:rFonts w:ascii="Arial" w:hAnsi="Arial" w:cs="Arial"/>
                <w:sz w:val="18"/>
                <w:szCs w:val="18"/>
              </w:rPr>
              <w:t>15.</w:t>
            </w:r>
            <w:r w:rsidR="00C23103" w:rsidRPr="00CD0D2A">
              <w:rPr>
                <w:rFonts w:ascii="Arial" w:hAnsi="Arial" w:cs="Arial"/>
                <w:sz w:val="18"/>
                <w:szCs w:val="18"/>
              </w:rPr>
              <w:t>9</w:t>
            </w:r>
            <w:r w:rsidR="00A03F13" w:rsidRPr="00CD0D2A">
              <w:rPr>
                <w:rFonts w:ascii="Arial" w:hAnsi="Arial" w:cs="Arial"/>
                <w:sz w:val="18"/>
                <w:szCs w:val="18"/>
              </w:rPr>
              <w:t xml:space="preserve"> %</w:t>
            </w:r>
            <w:r w:rsidR="000970DF" w:rsidRPr="00CD0D2A">
              <w:rPr>
                <w:rFonts w:ascii="Arial" w:hAnsi="Arial" w:cs="Arial"/>
                <w:sz w:val="18"/>
                <w:szCs w:val="18"/>
              </w:rPr>
              <w:br/>
            </w:r>
            <w:r>
              <w:rPr>
                <w:rFonts w:ascii="Arial" w:hAnsi="Arial" w:cs="Arial"/>
                <w:sz w:val="18"/>
                <w:szCs w:val="18"/>
              </w:rPr>
              <w:t>24.</w:t>
            </w:r>
            <w:r w:rsidR="00C23103" w:rsidRPr="00CD0D2A">
              <w:rPr>
                <w:rFonts w:ascii="Arial" w:hAnsi="Arial" w:cs="Arial"/>
                <w:sz w:val="18"/>
                <w:szCs w:val="18"/>
              </w:rPr>
              <w:t>0</w:t>
            </w:r>
            <w:r w:rsidR="00A03F13" w:rsidRPr="00CD0D2A">
              <w:rPr>
                <w:rFonts w:ascii="Arial" w:hAnsi="Arial" w:cs="Arial"/>
                <w:sz w:val="18"/>
                <w:szCs w:val="18"/>
              </w:rPr>
              <w:t xml:space="preserve"> %</w:t>
            </w:r>
          </w:p>
        </w:tc>
      </w:tr>
      <w:tr w:rsidR="00A03F13" w:rsidRPr="00721CB9" w14:paraId="23E053D4" w14:textId="77777777" w:rsidTr="00CD0D2A">
        <w:trPr>
          <w:trHeight w:val="382"/>
        </w:trPr>
        <w:tc>
          <w:tcPr>
            <w:tcW w:w="3811" w:type="dxa"/>
            <w:shd w:val="clear" w:color="auto" w:fill="000066"/>
          </w:tcPr>
          <w:p w14:paraId="2FED6F03" w14:textId="77777777" w:rsidR="00A03F13" w:rsidRPr="00CD0D2A" w:rsidRDefault="004A6F1C" w:rsidP="005F0718">
            <w:pPr>
              <w:spacing w:after="60"/>
              <w:ind w:right="-28"/>
              <w:contextualSpacing/>
              <w:jc w:val="center"/>
              <w:rPr>
                <w:rFonts w:ascii="Arial" w:hAnsi="Arial" w:cs="Arial"/>
                <w:b/>
                <w:i/>
                <w:sz w:val="18"/>
                <w:szCs w:val="18"/>
              </w:rPr>
            </w:pPr>
            <w:r>
              <w:rPr>
                <w:rFonts w:ascii="Arial" w:hAnsi="Arial" w:cs="Arial"/>
                <w:b/>
                <w:i/>
                <w:sz w:val="18"/>
                <w:szCs w:val="18"/>
              </w:rPr>
              <w:t xml:space="preserve">Individual Leasing </w:t>
            </w:r>
            <w:r w:rsidR="005F0718" w:rsidRPr="00CD0D2A">
              <w:rPr>
                <w:rFonts w:ascii="Arial" w:hAnsi="Arial" w:cs="Arial"/>
                <w:b/>
                <w:i/>
                <w:sz w:val="18"/>
                <w:szCs w:val="18"/>
              </w:rPr>
              <w:t>Segment</w:t>
            </w:r>
            <w:r>
              <w:rPr>
                <w:rFonts w:ascii="Arial" w:hAnsi="Arial" w:cs="Arial"/>
                <w:b/>
                <w:i/>
                <w:sz w:val="18"/>
                <w:szCs w:val="18"/>
              </w:rPr>
              <w:t>s</w:t>
            </w:r>
          </w:p>
        </w:tc>
        <w:tc>
          <w:tcPr>
            <w:tcW w:w="4011" w:type="dxa"/>
            <w:shd w:val="clear" w:color="auto" w:fill="000066"/>
          </w:tcPr>
          <w:p w14:paraId="42C893F1" w14:textId="77777777" w:rsidR="00A03F13" w:rsidRPr="00721CB9" w:rsidRDefault="004A6F1C" w:rsidP="00CD0D2A">
            <w:pPr>
              <w:spacing w:after="60"/>
              <w:ind w:right="-107"/>
              <w:contextualSpacing/>
              <w:jc w:val="center"/>
              <w:rPr>
                <w:rFonts w:ascii="Arial" w:hAnsi="Arial" w:cs="Arial"/>
                <w:b/>
                <w:i/>
                <w:sz w:val="18"/>
                <w:szCs w:val="18"/>
                <w:lang w:val="en-US"/>
              </w:rPr>
            </w:pPr>
            <w:r w:rsidRPr="00721CB9">
              <w:rPr>
                <w:rFonts w:ascii="Arial" w:hAnsi="Arial" w:cs="Arial"/>
                <w:b/>
                <w:i/>
                <w:sz w:val="18"/>
                <w:szCs w:val="18"/>
                <w:lang w:val="en-US"/>
              </w:rPr>
              <w:t>Year-on-Year Comparison with</w:t>
            </w:r>
            <w:r w:rsidR="00A03F13" w:rsidRPr="00721CB9">
              <w:rPr>
                <w:rFonts w:ascii="Arial" w:hAnsi="Arial" w:cs="Arial"/>
                <w:b/>
                <w:i/>
                <w:sz w:val="18"/>
                <w:szCs w:val="18"/>
                <w:lang w:val="en-US"/>
              </w:rPr>
              <w:t xml:space="preserve"> 201</w:t>
            </w:r>
            <w:r w:rsidR="001A02F7" w:rsidRPr="00721CB9">
              <w:rPr>
                <w:rFonts w:ascii="Arial" w:hAnsi="Arial" w:cs="Arial"/>
                <w:b/>
                <w:i/>
                <w:sz w:val="18"/>
                <w:szCs w:val="18"/>
                <w:lang w:val="en-US"/>
              </w:rPr>
              <w:t>8</w:t>
            </w:r>
          </w:p>
        </w:tc>
      </w:tr>
      <w:tr w:rsidR="00A03F13" w14:paraId="7EB106F6" w14:textId="77777777" w:rsidTr="00CD0D2A">
        <w:tc>
          <w:tcPr>
            <w:tcW w:w="3811" w:type="dxa"/>
            <w:shd w:val="clear" w:color="auto" w:fill="DBE5F1" w:themeFill="accent1" w:themeFillTint="33"/>
          </w:tcPr>
          <w:p w14:paraId="6FFCA63B" w14:textId="77777777" w:rsidR="00A03F13" w:rsidRPr="00CD0D2A" w:rsidRDefault="00F43FB2" w:rsidP="00064ADF">
            <w:pPr>
              <w:spacing w:after="60"/>
              <w:ind w:right="-28"/>
              <w:contextualSpacing/>
              <w:rPr>
                <w:rFonts w:ascii="Arial" w:hAnsi="Arial" w:cs="Arial"/>
                <w:sz w:val="18"/>
                <w:szCs w:val="18"/>
              </w:rPr>
            </w:pPr>
            <w:r>
              <w:rPr>
                <w:rFonts w:ascii="Arial" w:hAnsi="Arial" w:cs="Arial"/>
                <w:sz w:val="18"/>
                <w:szCs w:val="18"/>
              </w:rPr>
              <w:t>Vehicles (cars, commercial vehicles)</w:t>
            </w:r>
          </w:p>
        </w:tc>
        <w:tc>
          <w:tcPr>
            <w:tcW w:w="4011" w:type="dxa"/>
            <w:shd w:val="clear" w:color="auto" w:fill="DBE5F1" w:themeFill="accent1" w:themeFillTint="33"/>
          </w:tcPr>
          <w:p w14:paraId="4A822ACE" w14:textId="77777777" w:rsidR="00A03F13" w:rsidRPr="00CD0D2A" w:rsidRDefault="0093308D" w:rsidP="00CD0D2A">
            <w:pPr>
              <w:tabs>
                <w:tab w:val="left" w:pos="198"/>
              </w:tabs>
              <w:spacing w:after="60"/>
              <w:ind w:right="-107"/>
              <w:contextualSpacing/>
              <w:jc w:val="center"/>
              <w:rPr>
                <w:rFonts w:ascii="Arial" w:hAnsi="Arial" w:cs="Arial"/>
                <w:sz w:val="18"/>
                <w:szCs w:val="18"/>
              </w:rPr>
            </w:pPr>
            <w:r w:rsidRPr="00CD0D2A">
              <w:rPr>
                <w:rFonts w:ascii="Arial" w:hAnsi="Arial" w:cs="Arial"/>
                <w:sz w:val="18"/>
                <w:szCs w:val="18"/>
              </w:rPr>
              <w:t>+</w:t>
            </w:r>
            <w:r w:rsidR="00F43FB2">
              <w:rPr>
                <w:rFonts w:ascii="Arial" w:hAnsi="Arial" w:cs="Arial"/>
                <w:sz w:val="18"/>
                <w:szCs w:val="18"/>
              </w:rPr>
              <w:t>8.</w:t>
            </w:r>
            <w:r w:rsidR="00C23103" w:rsidRPr="00CD0D2A">
              <w:rPr>
                <w:rFonts w:ascii="Arial" w:hAnsi="Arial" w:cs="Arial"/>
                <w:sz w:val="18"/>
                <w:szCs w:val="18"/>
              </w:rPr>
              <w:t>9</w:t>
            </w:r>
            <w:r w:rsidR="00A03F13" w:rsidRPr="00CD0D2A">
              <w:rPr>
                <w:rFonts w:ascii="Arial" w:hAnsi="Arial" w:cs="Arial"/>
                <w:sz w:val="18"/>
                <w:szCs w:val="18"/>
              </w:rPr>
              <w:t xml:space="preserve"> %</w:t>
            </w:r>
          </w:p>
        </w:tc>
      </w:tr>
      <w:tr w:rsidR="00A03F13" w14:paraId="68F969F9" w14:textId="77777777" w:rsidTr="00CD0D2A">
        <w:tc>
          <w:tcPr>
            <w:tcW w:w="3811" w:type="dxa"/>
            <w:shd w:val="clear" w:color="auto" w:fill="DBE5F1" w:themeFill="accent1" w:themeFillTint="33"/>
          </w:tcPr>
          <w:p w14:paraId="6864FB4F" w14:textId="77777777" w:rsidR="00A03F13" w:rsidRPr="00CD0D2A" w:rsidRDefault="00A03F13" w:rsidP="00064ADF">
            <w:pPr>
              <w:spacing w:after="60"/>
              <w:ind w:right="-28"/>
              <w:contextualSpacing/>
              <w:rPr>
                <w:rFonts w:ascii="Arial" w:hAnsi="Arial" w:cs="Arial"/>
                <w:sz w:val="18"/>
                <w:szCs w:val="18"/>
              </w:rPr>
            </w:pPr>
            <w:r w:rsidRPr="00CD0D2A">
              <w:rPr>
                <w:rFonts w:ascii="Arial" w:hAnsi="Arial" w:cs="Arial"/>
                <w:sz w:val="18"/>
                <w:szCs w:val="18"/>
              </w:rPr>
              <w:t>Produ</w:t>
            </w:r>
            <w:r w:rsidR="00F43FB2">
              <w:rPr>
                <w:rFonts w:ascii="Arial" w:hAnsi="Arial" w:cs="Arial"/>
                <w:sz w:val="18"/>
                <w:szCs w:val="18"/>
              </w:rPr>
              <w:t>c</w:t>
            </w:r>
            <w:r w:rsidRPr="00CD0D2A">
              <w:rPr>
                <w:rFonts w:ascii="Arial" w:hAnsi="Arial" w:cs="Arial"/>
                <w:sz w:val="18"/>
                <w:szCs w:val="18"/>
              </w:rPr>
              <w:t>tion</w:t>
            </w:r>
            <w:r w:rsidR="00F43FB2">
              <w:rPr>
                <w:rFonts w:ascii="Arial" w:hAnsi="Arial" w:cs="Arial"/>
                <w:sz w:val="18"/>
                <w:szCs w:val="18"/>
              </w:rPr>
              <w:t xml:space="preserve"> machinery</w:t>
            </w:r>
          </w:p>
        </w:tc>
        <w:tc>
          <w:tcPr>
            <w:tcW w:w="4011" w:type="dxa"/>
            <w:shd w:val="clear" w:color="auto" w:fill="DBE5F1" w:themeFill="accent1" w:themeFillTint="33"/>
          </w:tcPr>
          <w:p w14:paraId="0509EDEE" w14:textId="77777777" w:rsidR="00A03F13" w:rsidRPr="00CD0D2A" w:rsidRDefault="00F43FB2" w:rsidP="00CD0D2A">
            <w:pPr>
              <w:tabs>
                <w:tab w:val="left" w:pos="198"/>
              </w:tabs>
              <w:spacing w:after="60"/>
              <w:ind w:right="-107"/>
              <w:contextualSpacing/>
              <w:jc w:val="center"/>
              <w:rPr>
                <w:rFonts w:ascii="Arial" w:hAnsi="Arial" w:cs="Arial"/>
                <w:sz w:val="18"/>
                <w:szCs w:val="18"/>
              </w:rPr>
            </w:pPr>
            <w:r>
              <w:rPr>
                <w:rFonts w:ascii="Arial" w:hAnsi="Arial" w:cs="Arial"/>
                <w:sz w:val="18"/>
                <w:szCs w:val="18"/>
              </w:rPr>
              <w:t>-1.</w:t>
            </w:r>
            <w:r w:rsidR="00C23103" w:rsidRPr="00CD0D2A">
              <w:rPr>
                <w:rFonts w:ascii="Arial" w:hAnsi="Arial" w:cs="Arial"/>
                <w:sz w:val="18"/>
                <w:szCs w:val="18"/>
              </w:rPr>
              <w:t>6</w:t>
            </w:r>
            <w:r w:rsidR="00A03F13" w:rsidRPr="00CD0D2A">
              <w:rPr>
                <w:rFonts w:ascii="Arial" w:hAnsi="Arial" w:cs="Arial"/>
                <w:sz w:val="18"/>
                <w:szCs w:val="18"/>
              </w:rPr>
              <w:t xml:space="preserve"> %</w:t>
            </w:r>
          </w:p>
        </w:tc>
      </w:tr>
      <w:tr w:rsidR="00A03F13" w14:paraId="5535DB35" w14:textId="77777777" w:rsidTr="00CD0D2A">
        <w:tc>
          <w:tcPr>
            <w:tcW w:w="3811" w:type="dxa"/>
            <w:shd w:val="clear" w:color="auto" w:fill="DBE5F1" w:themeFill="accent1" w:themeFillTint="33"/>
          </w:tcPr>
          <w:p w14:paraId="43635D3C" w14:textId="77777777" w:rsidR="00A03F13" w:rsidRPr="00CD0D2A" w:rsidRDefault="00F43FB2" w:rsidP="00064ADF">
            <w:pPr>
              <w:spacing w:after="60"/>
              <w:ind w:right="-28"/>
              <w:contextualSpacing/>
              <w:rPr>
                <w:rFonts w:ascii="Arial" w:hAnsi="Arial" w:cs="Arial"/>
                <w:sz w:val="18"/>
                <w:szCs w:val="18"/>
              </w:rPr>
            </w:pPr>
            <w:r>
              <w:rPr>
                <w:rFonts w:ascii="Arial" w:hAnsi="Arial" w:cs="Arial"/>
                <w:sz w:val="18"/>
                <w:szCs w:val="18"/>
              </w:rPr>
              <w:t>Office equipment, IT systems</w:t>
            </w:r>
          </w:p>
        </w:tc>
        <w:tc>
          <w:tcPr>
            <w:tcW w:w="4011" w:type="dxa"/>
            <w:shd w:val="clear" w:color="auto" w:fill="DBE5F1" w:themeFill="accent1" w:themeFillTint="33"/>
          </w:tcPr>
          <w:p w14:paraId="55FC903A" w14:textId="77777777" w:rsidR="00A03F13" w:rsidRPr="00CD0D2A" w:rsidRDefault="00F43FB2" w:rsidP="00CD0D2A">
            <w:pPr>
              <w:tabs>
                <w:tab w:val="left" w:pos="198"/>
              </w:tabs>
              <w:spacing w:after="60"/>
              <w:ind w:right="-107"/>
              <w:contextualSpacing/>
              <w:jc w:val="center"/>
              <w:rPr>
                <w:rFonts w:ascii="Arial" w:hAnsi="Arial" w:cs="Arial"/>
                <w:sz w:val="18"/>
                <w:szCs w:val="18"/>
              </w:rPr>
            </w:pPr>
            <w:r>
              <w:rPr>
                <w:rFonts w:ascii="Arial" w:hAnsi="Arial" w:cs="Arial"/>
                <w:sz w:val="18"/>
                <w:szCs w:val="18"/>
              </w:rPr>
              <w:t>+13.</w:t>
            </w:r>
            <w:r w:rsidR="00C23103" w:rsidRPr="00CD0D2A">
              <w:rPr>
                <w:rFonts w:ascii="Arial" w:hAnsi="Arial" w:cs="Arial"/>
                <w:sz w:val="18"/>
                <w:szCs w:val="18"/>
              </w:rPr>
              <w:t>0</w:t>
            </w:r>
            <w:r w:rsidR="00A03F13" w:rsidRPr="00CD0D2A">
              <w:rPr>
                <w:rFonts w:ascii="Arial" w:hAnsi="Arial" w:cs="Arial"/>
                <w:sz w:val="18"/>
                <w:szCs w:val="18"/>
              </w:rPr>
              <w:t xml:space="preserve"> %</w:t>
            </w:r>
          </w:p>
        </w:tc>
      </w:tr>
      <w:tr w:rsidR="00A03F13" w14:paraId="20832366" w14:textId="77777777" w:rsidTr="00CD0D2A">
        <w:tc>
          <w:tcPr>
            <w:tcW w:w="3811" w:type="dxa"/>
            <w:shd w:val="clear" w:color="auto" w:fill="DBE5F1" w:themeFill="accent1" w:themeFillTint="33"/>
          </w:tcPr>
          <w:p w14:paraId="0E276DCD" w14:textId="77777777" w:rsidR="00A03F13" w:rsidRPr="00721CB9" w:rsidRDefault="004A6F1C" w:rsidP="00064ADF">
            <w:pPr>
              <w:spacing w:after="60"/>
              <w:ind w:right="-28"/>
              <w:contextualSpacing/>
              <w:rPr>
                <w:rFonts w:ascii="Arial" w:hAnsi="Arial" w:cs="Arial"/>
                <w:sz w:val="18"/>
                <w:szCs w:val="18"/>
                <w:lang w:val="en-US"/>
              </w:rPr>
            </w:pPr>
            <w:r w:rsidRPr="00721CB9">
              <w:rPr>
                <w:rFonts w:ascii="Arial" w:hAnsi="Arial" w:cs="Arial"/>
                <w:sz w:val="18"/>
                <w:szCs w:val="18"/>
                <w:lang w:val="en-US"/>
              </w:rPr>
              <w:t>Information and signalling systems, other equipment</w:t>
            </w:r>
          </w:p>
        </w:tc>
        <w:tc>
          <w:tcPr>
            <w:tcW w:w="4011" w:type="dxa"/>
            <w:shd w:val="clear" w:color="auto" w:fill="DBE5F1" w:themeFill="accent1" w:themeFillTint="33"/>
          </w:tcPr>
          <w:p w14:paraId="19AC1A61" w14:textId="77777777" w:rsidR="00C7638B" w:rsidRPr="00721CB9" w:rsidRDefault="00C7638B" w:rsidP="00CD0D2A">
            <w:pPr>
              <w:tabs>
                <w:tab w:val="left" w:pos="198"/>
              </w:tabs>
              <w:spacing w:after="60"/>
              <w:ind w:right="-107"/>
              <w:contextualSpacing/>
              <w:jc w:val="center"/>
              <w:rPr>
                <w:rFonts w:ascii="Arial" w:hAnsi="Arial" w:cs="Arial"/>
                <w:sz w:val="18"/>
                <w:szCs w:val="18"/>
                <w:lang w:val="en-US"/>
              </w:rPr>
            </w:pPr>
          </w:p>
          <w:p w14:paraId="7A7CCAF5" w14:textId="77777777" w:rsidR="00A03F13" w:rsidRPr="00CD0D2A" w:rsidRDefault="0093308D" w:rsidP="00CD0D2A">
            <w:pPr>
              <w:tabs>
                <w:tab w:val="left" w:pos="198"/>
              </w:tabs>
              <w:spacing w:after="60"/>
              <w:ind w:right="-107"/>
              <w:contextualSpacing/>
              <w:jc w:val="center"/>
              <w:rPr>
                <w:rFonts w:ascii="Arial" w:hAnsi="Arial" w:cs="Arial"/>
                <w:sz w:val="18"/>
                <w:szCs w:val="18"/>
              </w:rPr>
            </w:pPr>
            <w:r w:rsidRPr="00CD0D2A">
              <w:rPr>
                <w:rFonts w:ascii="Arial" w:hAnsi="Arial" w:cs="Arial"/>
                <w:sz w:val="18"/>
                <w:szCs w:val="18"/>
              </w:rPr>
              <w:t>+</w:t>
            </w:r>
            <w:r w:rsidR="00F43FB2">
              <w:rPr>
                <w:rFonts w:ascii="Arial" w:hAnsi="Arial" w:cs="Arial"/>
                <w:sz w:val="18"/>
                <w:szCs w:val="18"/>
              </w:rPr>
              <w:t>5.</w:t>
            </w:r>
            <w:r w:rsidR="00C23103" w:rsidRPr="00CD0D2A">
              <w:rPr>
                <w:rFonts w:ascii="Arial" w:hAnsi="Arial" w:cs="Arial"/>
                <w:sz w:val="18"/>
                <w:szCs w:val="18"/>
              </w:rPr>
              <w:t>8</w:t>
            </w:r>
            <w:r w:rsidR="00A03F13" w:rsidRPr="00CD0D2A">
              <w:rPr>
                <w:rFonts w:ascii="Arial" w:hAnsi="Arial" w:cs="Arial"/>
                <w:sz w:val="18"/>
                <w:szCs w:val="18"/>
              </w:rPr>
              <w:t xml:space="preserve"> %</w:t>
            </w:r>
          </w:p>
        </w:tc>
      </w:tr>
      <w:tr w:rsidR="00A03F13" w14:paraId="55EE271A" w14:textId="77777777" w:rsidTr="00CD0D2A">
        <w:tc>
          <w:tcPr>
            <w:tcW w:w="3811" w:type="dxa"/>
            <w:shd w:val="clear" w:color="auto" w:fill="DBE5F1" w:themeFill="accent1" w:themeFillTint="33"/>
          </w:tcPr>
          <w:p w14:paraId="61F1C669" w14:textId="77777777" w:rsidR="00A03F13" w:rsidRPr="00721CB9" w:rsidRDefault="004A6F1C" w:rsidP="00064ADF">
            <w:pPr>
              <w:spacing w:after="60"/>
              <w:ind w:right="-28"/>
              <w:contextualSpacing/>
              <w:rPr>
                <w:rFonts w:ascii="Arial" w:hAnsi="Arial" w:cs="Arial"/>
                <w:sz w:val="18"/>
                <w:szCs w:val="18"/>
                <w:lang w:val="en-US"/>
              </w:rPr>
            </w:pPr>
            <w:r w:rsidRPr="00721CB9">
              <w:rPr>
                <w:rFonts w:ascii="Arial" w:hAnsi="Arial" w:cs="Arial"/>
                <w:sz w:val="18"/>
                <w:szCs w:val="18"/>
                <w:lang w:val="en-US"/>
              </w:rPr>
              <w:t>Aircraft, watercraft and railed vehicles</w:t>
            </w:r>
            <w:r w:rsidR="00A03F13" w:rsidRPr="00721CB9">
              <w:rPr>
                <w:rFonts w:ascii="Arial" w:hAnsi="Arial" w:cs="Arial"/>
                <w:sz w:val="18"/>
                <w:szCs w:val="18"/>
                <w:lang w:val="en-US"/>
              </w:rPr>
              <w:t xml:space="preserve"> </w:t>
            </w:r>
          </w:p>
        </w:tc>
        <w:tc>
          <w:tcPr>
            <w:tcW w:w="4011" w:type="dxa"/>
            <w:shd w:val="clear" w:color="auto" w:fill="DBE5F1" w:themeFill="accent1" w:themeFillTint="33"/>
          </w:tcPr>
          <w:p w14:paraId="1355997E" w14:textId="77777777" w:rsidR="00A03F13" w:rsidRPr="00CD0D2A" w:rsidRDefault="0093308D" w:rsidP="00CD0D2A">
            <w:pPr>
              <w:tabs>
                <w:tab w:val="left" w:pos="198"/>
              </w:tabs>
              <w:spacing w:after="60"/>
              <w:ind w:right="-107"/>
              <w:contextualSpacing/>
              <w:jc w:val="center"/>
              <w:rPr>
                <w:rFonts w:ascii="Arial" w:hAnsi="Arial" w:cs="Arial"/>
                <w:sz w:val="18"/>
                <w:szCs w:val="18"/>
              </w:rPr>
            </w:pPr>
            <w:r w:rsidRPr="00CD0D2A">
              <w:rPr>
                <w:rFonts w:ascii="Arial" w:hAnsi="Arial" w:cs="Arial"/>
                <w:sz w:val="18"/>
                <w:szCs w:val="18"/>
              </w:rPr>
              <w:t>+</w:t>
            </w:r>
            <w:r w:rsidR="00F43FB2">
              <w:rPr>
                <w:rFonts w:ascii="Arial" w:hAnsi="Arial" w:cs="Arial"/>
                <w:sz w:val="18"/>
                <w:szCs w:val="18"/>
              </w:rPr>
              <w:t>76.</w:t>
            </w:r>
            <w:r w:rsidR="00C23103" w:rsidRPr="00CD0D2A">
              <w:rPr>
                <w:rFonts w:ascii="Arial" w:hAnsi="Arial" w:cs="Arial"/>
                <w:sz w:val="18"/>
                <w:szCs w:val="18"/>
              </w:rPr>
              <w:t>6</w:t>
            </w:r>
            <w:r w:rsidR="00A03F13" w:rsidRPr="00CD0D2A">
              <w:rPr>
                <w:rFonts w:ascii="Arial" w:hAnsi="Arial" w:cs="Arial"/>
                <w:sz w:val="18"/>
                <w:szCs w:val="18"/>
              </w:rPr>
              <w:t xml:space="preserve"> %</w:t>
            </w:r>
          </w:p>
        </w:tc>
      </w:tr>
    </w:tbl>
    <w:p w14:paraId="2C5EF05B" w14:textId="77777777" w:rsidR="00743F5B" w:rsidRPr="004A6F1C" w:rsidRDefault="00743F5B" w:rsidP="0015153D">
      <w:pPr>
        <w:spacing w:after="120"/>
        <w:ind w:right="-28"/>
        <w:rPr>
          <w:rFonts w:ascii="Arial" w:hAnsi="Arial" w:cs="Arial"/>
          <w:sz w:val="18"/>
          <w:szCs w:val="18"/>
        </w:rPr>
      </w:pPr>
    </w:p>
    <w:sectPr w:rsidR="00743F5B" w:rsidRPr="004A6F1C" w:rsidSect="00FE66B0">
      <w:headerReference w:type="default" r:id="rId8"/>
      <w:footerReference w:type="default" r:id="rId9"/>
      <w:headerReference w:type="first" r:id="rId10"/>
      <w:footerReference w:type="first" r:id="rId11"/>
      <w:pgSz w:w="11906" w:h="16838" w:code="9"/>
      <w:pgMar w:top="2091" w:right="2125" w:bottom="426" w:left="1446" w:header="709" w:footer="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1A202" w14:textId="77777777" w:rsidR="00B23296" w:rsidRDefault="00B23296">
      <w:r>
        <w:separator/>
      </w:r>
    </w:p>
  </w:endnote>
  <w:endnote w:type="continuationSeparator" w:id="0">
    <w:p w14:paraId="5D7BA32A" w14:textId="77777777" w:rsidR="00B23296" w:rsidRDefault="00B2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D5CD" w14:textId="77777777" w:rsidR="007A7979" w:rsidRPr="00111BA4" w:rsidRDefault="007A7979">
    <w:pPr>
      <w:pStyle w:val="Fuzeile"/>
      <w:jc w:val="right"/>
      <w:rPr>
        <w:rFonts w:ascii="Arial" w:hAnsi="Arial" w:cs="Arial"/>
        <w:sz w:val="20"/>
        <w:szCs w:val="16"/>
      </w:rPr>
    </w:pPr>
  </w:p>
  <w:p w14:paraId="688908BD" w14:textId="77777777" w:rsidR="007A7979" w:rsidRDefault="007A79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901773"/>
      <w:docPartObj>
        <w:docPartGallery w:val="Page Numbers (Bottom of Page)"/>
        <w:docPartUnique/>
      </w:docPartObj>
    </w:sdtPr>
    <w:sdtEndPr>
      <w:rPr>
        <w:rFonts w:ascii="Arial" w:hAnsi="Arial" w:cs="Arial"/>
        <w:sz w:val="20"/>
        <w:szCs w:val="16"/>
      </w:rPr>
    </w:sdtEndPr>
    <w:sdtContent>
      <w:p w14:paraId="0BBB9E6B" w14:textId="77777777" w:rsidR="007A7979" w:rsidRPr="00C2117A" w:rsidRDefault="007A7979">
        <w:pPr>
          <w:pStyle w:val="Fuzeile"/>
          <w:jc w:val="right"/>
          <w:rPr>
            <w:rFonts w:ascii="Arial" w:hAnsi="Arial" w:cs="Arial"/>
            <w:sz w:val="20"/>
            <w:szCs w:val="16"/>
          </w:rPr>
        </w:pPr>
        <w:r w:rsidRPr="00C2117A">
          <w:rPr>
            <w:rFonts w:ascii="Arial" w:hAnsi="Arial" w:cs="Arial"/>
            <w:sz w:val="20"/>
            <w:szCs w:val="16"/>
          </w:rPr>
          <w:fldChar w:fldCharType="begin"/>
        </w:r>
        <w:r w:rsidRPr="00C2117A">
          <w:rPr>
            <w:rFonts w:ascii="Arial" w:hAnsi="Arial" w:cs="Arial"/>
            <w:sz w:val="20"/>
            <w:szCs w:val="16"/>
          </w:rPr>
          <w:instrText>PAGE   \* MERGEFORMAT</w:instrText>
        </w:r>
        <w:r w:rsidRPr="00C2117A">
          <w:rPr>
            <w:rFonts w:ascii="Arial" w:hAnsi="Arial" w:cs="Arial"/>
            <w:sz w:val="20"/>
            <w:szCs w:val="16"/>
          </w:rPr>
          <w:fldChar w:fldCharType="separate"/>
        </w:r>
        <w:r w:rsidR="003D5D03">
          <w:rPr>
            <w:rFonts w:ascii="Arial" w:hAnsi="Arial" w:cs="Arial"/>
            <w:noProof/>
            <w:sz w:val="20"/>
            <w:szCs w:val="16"/>
          </w:rPr>
          <w:t>1</w:t>
        </w:r>
        <w:r w:rsidRPr="00C2117A">
          <w:rPr>
            <w:rFonts w:ascii="Arial" w:hAnsi="Arial" w:cs="Arial"/>
            <w:sz w:val="20"/>
            <w:szCs w:val="16"/>
          </w:rPr>
          <w:fldChar w:fldCharType="end"/>
        </w:r>
        <w:r w:rsidRPr="00C2117A">
          <w:rPr>
            <w:rFonts w:ascii="Arial" w:hAnsi="Arial" w:cs="Arial"/>
            <w:sz w:val="20"/>
            <w:szCs w:val="16"/>
          </w:rPr>
          <w:t>/2</w:t>
        </w:r>
      </w:p>
    </w:sdtContent>
  </w:sdt>
  <w:p w14:paraId="37B91F33" w14:textId="77777777" w:rsidR="007A7979" w:rsidRDefault="007A79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799B7" w14:textId="77777777" w:rsidR="00B23296" w:rsidRDefault="00B23296">
      <w:r>
        <w:separator/>
      </w:r>
    </w:p>
  </w:footnote>
  <w:footnote w:type="continuationSeparator" w:id="0">
    <w:p w14:paraId="6C613773" w14:textId="77777777" w:rsidR="00B23296" w:rsidRDefault="00B23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3A4B4" w14:textId="77777777" w:rsidR="007A7979" w:rsidRDefault="007A7979" w:rsidP="003F6556">
    <w:pPr>
      <w:pStyle w:val="Kopfzeile"/>
      <w:tabs>
        <w:tab w:val="clear" w:pos="9072"/>
        <w:tab w:val="right" w:pos="9639"/>
      </w:tabs>
      <w:ind w:right="-1304"/>
      <w:jc w:val="right"/>
    </w:pPr>
    <w:r>
      <w:rPr>
        <w:noProof/>
        <w:lang w:eastAsia="en-GB"/>
      </w:rPr>
      <w:drawing>
        <wp:inline distT="0" distB="0" distL="0" distR="0" wp14:anchorId="007646D4" wp14:editId="5487D2DC">
          <wp:extent cx="2240280" cy="571500"/>
          <wp:effectExtent l="0" t="0" r="7620" b="0"/>
          <wp:docPr id="19" name="Bild 1" descr="BDL Logo mit schrift ohne weiß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L Logo mit schrift ohne weiß_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571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7F36A" w14:textId="77777777" w:rsidR="007A7979" w:rsidRDefault="007A7979" w:rsidP="00F4405C">
    <w:pPr>
      <w:pStyle w:val="Kopfzeile"/>
      <w:ind w:right="-1304"/>
      <w:jc w:val="right"/>
    </w:pPr>
    <w:r>
      <w:rPr>
        <w:noProof/>
        <w:lang w:eastAsia="en-GB"/>
      </w:rPr>
      <w:drawing>
        <wp:inline distT="0" distB="0" distL="0" distR="0" wp14:anchorId="79B12354" wp14:editId="1BA537EB">
          <wp:extent cx="2308860" cy="586740"/>
          <wp:effectExtent l="0" t="0" r="0" b="3810"/>
          <wp:docPr id="20" name="Bild 2" descr="BDL Logo mit schrift ohne weiß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L Logo mit schrift ohne weiß_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860"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7AB14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1AF4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30856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AB6D83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AC8B8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D699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28B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746F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649C0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C124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33DDA"/>
    <w:multiLevelType w:val="hybridMultilevel"/>
    <w:tmpl w:val="769E0EB4"/>
    <w:lvl w:ilvl="0" w:tplc="7D140DB6">
      <w:start w:val="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045012"/>
    <w:multiLevelType w:val="hybridMultilevel"/>
    <w:tmpl w:val="A506416A"/>
    <w:lvl w:ilvl="0" w:tplc="FAFACF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CE0D78"/>
    <w:multiLevelType w:val="hybridMultilevel"/>
    <w:tmpl w:val="C5B8CDEA"/>
    <w:lvl w:ilvl="0" w:tplc="2FF68064">
      <w:start w:val="1"/>
      <w:numFmt w:val="decimal"/>
      <w:lvlText w:val="%1."/>
      <w:lvlJc w:val="left"/>
      <w:pPr>
        <w:tabs>
          <w:tab w:val="num" w:pos="720"/>
        </w:tabs>
        <w:ind w:left="720" w:hanging="360"/>
      </w:pPr>
      <w:rPr>
        <w:rFonts w:cs="Times New Roman"/>
      </w:rPr>
    </w:lvl>
    <w:lvl w:ilvl="1" w:tplc="F6B4F6A6" w:tentative="1">
      <w:start w:val="1"/>
      <w:numFmt w:val="decimal"/>
      <w:lvlText w:val="%2."/>
      <w:lvlJc w:val="left"/>
      <w:pPr>
        <w:tabs>
          <w:tab w:val="num" w:pos="1440"/>
        </w:tabs>
        <w:ind w:left="1440" w:hanging="360"/>
      </w:pPr>
      <w:rPr>
        <w:rFonts w:cs="Times New Roman"/>
      </w:rPr>
    </w:lvl>
    <w:lvl w:ilvl="2" w:tplc="061A7E60" w:tentative="1">
      <w:start w:val="1"/>
      <w:numFmt w:val="decimal"/>
      <w:lvlText w:val="%3."/>
      <w:lvlJc w:val="left"/>
      <w:pPr>
        <w:tabs>
          <w:tab w:val="num" w:pos="2160"/>
        </w:tabs>
        <w:ind w:left="2160" w:hanging="360"/>
      </w:pPr>
      <w:rPr>
        <w:rFonts w:cs="Times New Roman"/>
      </w:rPr>
    </w:lvl>
    <w:lvl w:ilvl="3" w:tplc="B2723342" w:tentative="1">
      <w:start w:val="1"/>
      <w:numFmt w:val="decimal"/>
      <w:lvlText w:val="%4."/>
      <w:lvlJc w:val="left"/>
      <w:pPr>
        <w:tabs>
          <w:tab w:val="num" w:pos="2880"/>
        </w:tabs>
        <w:ind w:left="2880" w:hanging="360"/>
      </w:pPr>
      <w:rPr>
        <w:rFonts w:cs="Times New Roman"/>
      </w:rPr>
    </w:lvl>
    <w:lvl w:ilvl="4" w:tplc="D34E05A6" w:tentative="1">
      <w:start w:val="1"/>
      <w:numFmt w:val="decimal"/>
      <w:lvlText w:val="%5."/>
      <w:lvlJc w:val="left"/>
      <w:pPr>
        <w:tabs>
          <w:tab w:val="num" w:pos="3600"/>
        </w:tabs>
        <w:ind w:left="3600" w:hanging="360"/>
      </w:pPr>
      <w:rPr>
        <w:rFonts w:cs="Times New Roman"/>
      </w:rPr>
    </w:lvl>
    <w:lvl w:ilvl="5" w:tplc="F968C2C0" w:tentative="1">
      <w:start w:val="1"/>
      <w:numFmt w:val="decimal"/>
      <w:lvlText w:val="%6."/>
      <w:lvlJc w:val="left"/>
      <w:pPr>
        <w:tabs>
          <w:tab w:val="num" w:pos="4320"/>
        </w:tabs>
        <w:ind w:left="4320" w:hanging="360"/>
      </w:pPr>
      <w:rPr>
        <w:rFonts w:cs="Times New Roman"/>
      </w:rPr>
    </w:lvl>
    <w:lvl w:ilvl="6" w:tplc="E8C8C530" w:tentative="1">
      <w:start w:val="1"/>
      <w:numFmt w:val="decimal"/>
      <w:lvlText w:val="%7."/>
      <w:lvlJc w:val="left"/>
      <w:pPr>
        <w:tabs>
          <w:tab w:val="num" w:pos="5040"/>
        </w:tabs>
        <w:ind w:left="5040" w:hanging="360"/>
      </w:pPr>
      <w:rPr>
        <w:rFonts w:cs="Times New Roman"/>
      </w:rPr>
    </w:lvl>
    <w:lvl w:ilvl="7" w:tplc="6A2EF622" w:tentative="1">
      <w:start w:val="1"/>
      <w:numFmt w:val="decimal"/>
      <w:lvlText w:val="%8."/>
      <w:lvlJc w:val="left"/>
      <w:pPr>
        <w:tabs>
          <w:tab w:val="num" w:pos="5760"/>
        </w:tabs>
        <w:ind w:left="5760" w:hanging="360"/>
      </w:pPr>
      <w:rPr>
        <w:rFonts w:cs="Times New Roman"/>
      </w:rPr>
    </w:lvl>
    <w:lvl w:ilvl="8" w:tplc="34ACFCE4" w:tentative="1">
      <w:start w:val="1"/>
      <w:numFmt w:val="decimal"/>
      <w:lvlText w:val="%9."/>
      <w:lvlJc w:val="left"/>
      <w:pPr>
        <w:tabs>
          <w:tab w:val="num" w:pos="6480"/>
        </w:tabs>
        <w:ind w:left="648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4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D6"/>
    <w:rsid w:val="00000AD4"/>
    <w:rsid w:val="0000172F"/>
    <w:rsid w:val="00001D8A"/>
    <w:rsid w:val="000035BA"/>
    <w:rsid w:val="000038CE"/>
    <w:rsid w:val="00003B30"/>
    <w:rsid w:val="00004404"/>
    <w:rsid w:val="00007D4B"/>
    <w:rsid w:val="00007F11"/>
    <w:rsid w:val="00012C0B"/>
    <w:rsid w:val="00014D79"/>
    <w:rsid w:val="0001541C"/>
    <w:rsid w:val="000154D1"/>
    <w:rsid w:val="00015566"/>
    <w:rsid w:val="00015D80"/>
    <w:rsid w:val="000163F6"/>
    <w:rsid w:val="0002201B"/>
    <w:rsid w:val="00022689"/>
    <w:rsid w:val="00023C7D"/>
    <w:rsid w:val="00026DB9"/>
    <w:rsid w:val="000313BB"/>
    <w:rsid w:val="000328AD"/>
    <w:rsid w:val="0003399B"/>
    <w:rsid w:val="00035A53"/>
    <w:rsid w:val="00044C1C"/>
    <w:rsid w:val="0005125E"/>
    <w:rsid w:val="00052514"/>
    <w:rsid w:val="000546EA"/>
    <w:rsid w:val="000570D0"/>
    <w:rsid w:val="00064ADF"/>
    <w:rsid w:val="000721B6"/>
    <w:rsid w:val="0007329E"/>
    <w:rsid w:val="00074327"/>
    <w:rsid w:val="00075FB3"/>
    <w:rsid w:val="000802CA"/>
    <w:rsid w:val="00082B7A"/>
    <w:rsid w:val="000860F2"/>
    <w:rsid w:val="00091920"/>
    <w:rsid w:val="00096882"/>
    <w:rsid w:val="000969D3"/>
    <w:rsid w:val="000970DF"/>
    <w:rsid w:val="00097DC9"/>
    <w:rsid w:val="00097EAE"/>
    <w:rsid w:val="000A0A9D"/>
    <w:rsid w:val="000A0F10"/>
    <w:rsid w:val="000A15E5"/>
    <w:rsid w:val="000A1CEA"/>
    <w:rsid w:val="000A5B66"/>
    <w:rsid w:val="000A6D93"/>
    <w:rsid w:val="000B14DA"/>
    <w:rsid w:val="000B4917"/>
    <w:rsid w:val="000B716E"/>
    <w:rsid w:val="000B72E9"/>
    <w:rsid w:val="000B7678"/>
    <w:rsid w:val="000B7DF4"/>
    <w:rsid w:val="000C2CAE"/>
    <w:rsid w:val="000C2ED8"/>
    <w:rsid w:val="000C500D"/>
    <w:rsid w:val="000D152F"/>
    <w:rsid w:val="000D3A2D"/>
    <w:rsid w:val="000D47C6"/>
    <w:rsid w:val="000E179A"/>
    <w:rsid w:val="000E1F74"/>
    <w:rsid w:val="000E73C9"/>
    <w:rsid w:val="000E7D94"/>
    <w:rsid w:val="000F133A"/>
    <w:rsid w:val="000F2B99"/>
    <w:rsid w:val="000F456D"/>
    <w:rsid w:val="001029EC"/>
    <w:rsid w:val="001040D6"/>
    <w:rsid w:val="00104A19"/>
    <w:rsid w:val="00111BA4"/>
    <w:rsid w:val="00112D15"/>
    <w:rsid w:val="00115EA2"/>
    <w:rsid w:val="00121740"/>
    <w:rsid w:val="00121B39"/>
    <w:rsid w:val="001221A4"/>
    <w:rsid w:val="001225FC"/>
    <w:rsid w:val="0013049B"/>
    <w:rsid w:val="0013260D"/>
    <w:rsid w:val="00132BBD"/>
    <w:rsid w:val="00133CC3"/>
    <w:rsid w:val="00140B4A"/>
    <w:rsid w:val="00141E1B"/>
    <w:rsid w:val="00142711"/>
    <w:rsid w:val="001444EB"/>
    <w:rsid w:val="00145CE3"/>
    <w:rsid w:val="001468E5"/>
    <w:rsid w:val="0015153D"/>
    <w:rsid w:val="00153572"/>
    <w:rsid w:val="00153589"/>
    <w:rsid w:val="0015403F"/>
    <w:rsid w:val="00156270"/>
    <w:rsid w:val="001610F6"/>
    <w:rsid w:val="001638EB"/>
    <w:rsid w:val="00163D1A"/>
    <w:rsid w:val="00165173"/>
    <w:rsid w:val="00177BAB"/>
    <w:rsid w:val="001848B2"/>
    <w:rsid w:val="001873A6"/>
    <w:rsid w:val="001877B4"/>
    <w:rsid w:val="001902B4"/>
    <w:rsid w:val="00190305"/>
    <w:rsid w:val="0019031A"/>
    <w:rsid w:val="001A02F7"/>
    <w:rsid w:val="001A0E85"/>
    <w:rsid w:val="001A13EC"/>
    <w:rsid w:val="001A363C"/>
    <w:rsid w:val="001A4464"/>
    <w:rsid w:val="001A6975"/>
    <w:rsid w:val="001A7447"/>
    <w:rsid w:val="001B1C1E"/>
    <w:rsid w:val="001B3FA7"/>
    <w:rsid w:val="001C0D6C"/>
    <w:rsid w:val="001C5CDD"/>
    <w:rsid w:val="001D0866"/>
    <w:rsid w:val="001D1AA2"/>
    <w:rsid w:val="001D2CB7"/>
    <w:rsid w:val="001D438B"/>
    <w:rsid w:val="001D6809"/>
    <w:rsid w:val="001D751D"/>
    <w:rsid w:val="001E2627"/>
    <w:rsid w:val="001E4C2D"/>
    <w:rsid w:val="001E564E"/>
    <w:rsid w:val="001E71BA"/>
    <w:rsid w:val="001F1B68"/>
    <w:rsid w:val="001F2B52"/>
    <w:rsid w:val="001F325F"/>
    <w:rsid w:val="001F4878"/>
    <w:rsid w:val="001F645B"/>
    <w:rsid w:val="00200543"/>
    <w:rsid w:val="0020366C"/>
    <w:rsid w:val="00203EFA"/>
    <w:rsid w:val="00204179"/>
    <w:rsid w:val="00205115"/>
    <w:rsid w:val="00206C2B"/>
    <w:rsid w:val="00207CCA"/>
    <w:rsid w:val="00210755"/>
    <w:rsid w:val="0021139C"/>
    <w:rsid w:val="00214CC8"/>
    <w:rsid w:val="00214DF4"/>
    <w:rsid w:val="00215B78"/>
    <w:rsid w:val="00222520"/>
    <w:rsid w:val="00222F94"/>
    <w:rsid w:val="00224464"/>
    <w:rsid w:val="00227A36"/>
    <w:rsid w:val="00241F77"/>
    <w:rsid w:val="00250406"/>
    <w:rsid w:val="00251C33"/>
    <w:rsid w:val="00252254"/>
    <w:rsid w:val="0025227C"/>
    <w:rsid w:val="00252325"/>
    <w:rsid w:val="00255851"/>
    <w:rsid w:val="002570F2"/>
    <w:rsid w:val="00266C2E"/>
    <w:rsid w:val="00266D21"/>
    <w:rsid w:val="00273D15"/>
    <w:rsid w:val="00277919"/>
    <w:rsid w:val="00277D05"/>
    <w:rsid w:val="00281E52"/>
    <w:rsid w:val="00285171"/>
    <w:rsid w:val="002876F8"/>
    <w:rsid w:val="00287881"/>
    <w:rsid w:val="00290B0E"/>
    <w:rsid w:val="00292731"/>
    <w:rsid w:val="0029476D"/>
    <w:rsid w:val="0029515E"/>
    <w:rsid w:val="00295B8D"/>
    <w:rsid w:val="00295C56"/>
    <w:rsid w:val="00296492"/>
    <w:rsid w:val="00296607"/>
    <w:rsid w:val="002973E2"/>
    <w:rsid w:val="002A7AD7"/>
    <w:rsid w:val="002B5DA3"/>
    <w:rsid w:val="002B74F1"/>
    <w:rsid w:val="002C01AB"/>
    <w:rsid w:val="002C5D4B"/>
    <w:rsid w:val="002C741F"/>
    <w:rsid w:val="002D1A68"/>
    <w:rsid w:val="002D1E45"/>
    <w:rsid w:val="002D3858"/>
    <w:rsid w:val="002D5F93"/>
    <w:rsid w:val="002D6C81"/>
    <w:rsid w:val="002D6EE1"/>
    <w:rsid w:val="002D7367"/>
    <w:rsid w:val="002E137C"/>
    <w:rsid w:val="002E6BEE"/>
    <w:rsid w:val="002F0F98"/>
    <w:rsid w:val="002F1BD2"/>
    <w:rsid w:val="002F3661"/>
    <w:rsid w:val="002F558C"/>
    <w:rsid w:val="002F6067"/>
    <w:rsid w:val="002F736E"/>
    <w:rsid w:val="002F7DD1"/>
    <w:rsid w:val="003050A2"/>
    <w:rsid w:val="00306000"/>
    <w:rsid w:val="003077FF"/>
    <w:rsid w:val="00314452"/>
    <w:rsid w:val="00321190"/>
    <w:rsid w:val="00323A94"/>
    <w:rsid w:val="00334885"/>
    <w:rsid w:val="0033497C"/>
    <w:rsid w:val="00335092"/>
    <w:rsid w:val="00336CE1"/>
    <w:rsid w:val="00336DCD"/>
    <w:rsid w:val="0033799E"/>
    <w:rsid w:val="003379F0"/>
    <w:rsid w:val="00344A75"/>
    <w:rsid w:val="0034574B"/>
    <w:rsid w:val="00353EC8"/>
    <w:rsid w:val="003607D8"/>
    <w:rsid w:val="00364244"/>
    <w:rsid w:val="0036469E"/>
    <w:rsid w:val="00364D9A"/>
    <w:rsid w:val="00372B70"/>
    <w:rsid w:val="0037346B"/>
    <w:rsid w:val="00377216"/>
    <w:rsid w:val="00382E34"/>
    <w:rsid w:val="003878D2"/>
    <w:rsid w:val="00394632"/>
    <w:rsid w:val="00394740"/>
    <w:rsid w:val="003958C0"/>
    <w:rsid w:val="00395D15"/>
    <w:rsid w:val="0039745D"/>
    <w:rsid w:val="003A019E"/>
    <w:rsid w:val="003A133C"/>
    <w:rsid w:val="003A3477"/>
    <w:rsid w:val="003A3E8B"/>
    <w:rsid w:val="003A4F59"/>
    <w:rsid w:val="003A59CD"/>
    <w:rsid w:val="003A779C"/>
    <w:rsid w:val="003B0855"/>
    <w:rsid w:val="003B0CEF"/>
    <w:rsid w:val="003B3308"/>
    <w:rsid w:val="003B7CFC"/>
    <w:rsid w:val="003B7F0C"/>
    <w:rsid w:val="003C5165"/>
    <w:rsid w:val="003C5CCB"/>
    <w:rsid w:val="003C6BE3"/>
    <w:rsid w:val="003D0E91"/>
    <w:rsid w:val="003D232A"/>
    <w:rsid w:val="003D28F2"/>
    <w:rsid w:val="003D4C6D"/>
    <w:rsid w:val="003D5D03"/>
    <w:rsid w:val="003D643E"/>
    <w:rsid w:val="003E42FA"/>
    <w:rsid w:val="003E7CA1"/>
    <w:rsid w:val="003F1CE2"/>
    <w:rsid w:val="003F4C00"/>
    <w:rsid w:val="003F4F46"/>
    <w:rsid w:val="003F5BBE"/>
    <w:rsid w:val="003F6556"/>
    <w:rsid w:val="004026C5"/>
    <w:rsid w:val="00403D84"/>
    <w:rsid w:val="00417D03"/>
    <w:rsid w:val="00421DAC"/>
    <w:rsid w:val="004252A8"/>
    <w:rsid w:val="004266C9"/>
    <w:rsid w:val="00431590"/>
    <w:rsid w:val="00431624"/>
    <w:rsid w:val="00433DD6"/>
    <w:rsid w:val="00436181"/>
    <w:rsid w:val="0044141B"/>
    <w:rsid w:val="004438AE"/>
    <w:rsid w:val="004440BE"/>
    <w:rsid w:val="00445F66"/>
    <w:rsid w:val="00452333"/>
    <w:rsid w:val="00460D6A"/>
    <w:rsid w:val="00470950"/>
    <w:rsid w:val="00472FF8"/>
    <w:rsid w:val="0047357E"/>
    <w:rsid w:val="00474460"/>
    <w:rsid w:val="00476FEC"/>
    <w:rsid w:val="00477A33"/>
    <w:rsid w:val="00482F1E"/>
    <w:rsid w:val="00485640"/>
    <w:rsid w:val="00490A22"/>
    <w:rsid w:val="00496062"/>
    <w:rsid w:val="004A00F2"/>
    <w:rsid w:val="004A55CF"/>
    <w:rsid w:val="004A6F1C"/>
    <w:rsid w:val="004A7503"/>
    <w:rsid w:val="004B046D"/>
    <w:rsid w:val="004B4864"/>
    <w:rsid w:val="004B6389"/>
    <w:rsid w:val="004B7EE6"/>
    <w:rsid w:val="004C0826"/>
    <w:rsid w:val="004C0919"/>
    <w:rsid w:val="004C373D"/>
    <w:rsid w:val="004C47C1"/>
    <w:rsid w:val="004D0AAD"/>
    <w:rsid w:val="004D1C9D"/>
    <w:rsid w:val="004D1D96"/>
    <w:rsid w:val="004E0E9F"/>
    <w:rsid w:val="004E1C18"/>
    <w:rsid w:val="004E6126"/>
    <w:rsid w:val="004E613A"/>
    <w:rsid w:val="004F0E33"/>
    <w:rsid w:val="004F18BC"/>
    <w:rsid w:val="004F2680"/>
    <w:rsid w:val="004F37AA"/>
    <w:rsid w:val="004F5853"/>
    <w:rsid w:val="004F7050"/>
    <w:rsid w:val="00502524"/>
    <w:rsid w:val="00503844"/>
    <w:rsid w:val="00504D3C"/>
    <w:rsid w:val="00504EBA"/>
    <w:rsid w:val="00505290"/>
    <w:rsid w:val="00510AFE"/>
    <w:rsid w:val="005116C4"/>
    <w:rsid w:val="00512EDE"/>
    <w:rsid w:val="00513A6E"/>
    <w:rsid w:val="0051422F"/>
    <w:rsid w:val="00516B50"/>
    <w:rsid w:val="00517087"/>
    <w:rsid w:val="00517495"/>
    <w:rsid w:val="0052217D"/>
    <w:rsid w:val="00523430"/>
    <w:rsid w:val="005270A8"/>
    <w:rsid w:val="00533E9F"/>
    <w:rsid w:val="00535C08"/>
    <w:rsid w:val="00541C7A"/>
    <w:rsid w:val="00542C15"/>
    <w:rsid w:val="00552ED1"/>
    <w:rsid w:val="005537AA"/>
    <w:rsid w:val="00554939"/>
    <w:rsid w:val="0055646A"/>
    <w:rsid w:val="00557012"/>
    <w:rsid w:val="00561432"/>
    <w:rsid w:val="0056287A"/>
    <w:rsid w:val="00562C7C"/>
    <w:rsid w:val="00562DAF"/>
    <w:rsid w:val="00571544"/>
    <w:rsid w:val="00571622"/>
    <w:rsid w:val="005726D7"/>
    <w:rsid w:val="00573FCE"/>
    <w:rsid w:val="00576802"/>
    <w:rsid w:val="00577B6F"/>
    <w:rsid w:val="005827ED"/>
    <w:rsid w:val="00583F79"/>
    <w:rsid w:val="005858F4"/>
    <w:rsid w:val="00586692"/>
    <w:rsid w:val="005876D0"/>
    <w:rsid w:val="005924F3"/>
    <w:rsid w:val="005930FC"/>
    <w:rsid w:val="00593624"/>
    <w:rsid w:val="00597020"/>
    <w:rsid w:val="005A0787"/>
    <w:rsid w:val="005A123A"/>
    <w:rsid w:val="005A6128"/>
    <w:rsid w:val="005A7750"/>
    <w:rsid w:val="005B32FE"/>
    <w:rsid w:val="005B4E4E"/>
    <w:rsid w:val="005B5D08"/>
    <w:rsid w:val="005B72A1"/>
    <w:rsid w:val="005C2B35"/>
    <w:rsid w:val="005C3F39"/>
    <w:rsid w:val="005C455F"/>
    <w:rsid w:val="005C66AE"/>
    <w:rsid w:val="005C70BC"/>
    <w:rsid w:val="005D2953"/>
    <w:rsid w:val="005D2DC1"/>
    <w:rsid w:val="005D4FBF"/>
    <w:rsid w:val="005E33AB"/>
    <w:rsid w:val="005E34C7"/>
    <w:rsid w:val="005E7168"/>
    <w:rsid w:val="005F0718"/>
    <w:rsid w:val="005F130E"/>
    <w:rsid w:val="005F254B"/>
    <w:rsid w:val="005F2C5B"/>
    <w:rsid w:val="005F3A1B"/>
    <w:rsid w:val="005F454B"/>
    <w:rsid w:val="005F45AE"/>
    <w:rsid w:val="005F4DFB"/>
    <w:rsid w:val="005F5097"/>
    <w:rsid w:val="005F605B"/>
    <w:rsid w:val="005F6382"/>
    <w:rsid w:val="0060138B"/>
    <w:rsid w:val="00602041"/>
    <w:rsid w:val="00610536"/>
    <w:rsid w:val="00613990"/>
    <w:rsid w:val="00614EBB"/>
    <w:rsid w:val="00616AE7"/>
    <w:rsid w:val="006177BD"/>
    <w:rsid w:val="006217E4"/>
    <w:rsid w:val="00624129"/>
    <w:rsid w:val="00625AC5"/>
    <w:rsid w:val="0062728B"/>
    <w:rsid w:val="00627E53"/>
    <w:rsid w:val="00633CEF"/>
    <w:rsid w:val="0063445D"/>
    <w:rsid w:val="00634E70"/>
    <w:rsid w:val="00635AAC"/>
    <w:rsid w:val="00637758"/>
    <w:rsid w:val="0064071C"/>
    <w:rsid w:val="00643A2F"/>
    <w:rsid w:val="0065033A"/>
    <w:rsid w:val="006504BC"/>
    <w:rsid w:val="00657979"/>
    <w:rsid w:val="0066043B"/>
    <w:rsid w:val="00660DA2"/>
    <w:rsid w:val="006615D1"/>
    <w:rsid w:val="00662E39"/>
    <w:rsid w:val="0066723E"/>
    <w:rsid w:val="006676E3"/>
    <w:rsid w:val="00671C1D"/>
    <w:rsid w:val="0067700F"/>
    <w:rsid w:val="00682621"/>
    <w:rsid w:val="00682D7A"/>
    <w:rsid w:val="006833CD"/>
    <w:rsid w:val="0068448F"/>
    <w:rsid w:val="0068466C"/>
    <w:rsid w:val="0068495B"/>
    <w:rsid w:val="00685669"/>
    <w:rsid w:val="006879F7"/>
    <w:rsid w:val="00692240"/>
    <w:rsid w:val="00693925"/>
    <w:rsid w:val="00693B0A"/>
    <w:rsid w:val="006A3579"/>
    <w:rsid w:val="006A5F14"/>
    <w:rsid w:val="006A6C3D"/>
    <w:rsid w:val="006B16D3"/>
    <w:rsid w:val="006B16D8"/>
    <w:rsid w:val="006B2A9F"/>
    <w:rsid w:val="006B5304"/>
    <w:rsid w:val="006B5BA9"/>
    <w:rsid w:val="006B5EE9"/>
    <w:rsid w:val="006C05EC"/>
    <w:rsid w:val="006C3D37"/>
    <w:rsid w:val="006C4290"/>
    <w:rsid w:val="006C56AD"/>
    <w:rsid w:val="006C5D94"/>
    <w:rsid w:val="006D304A"/>
    <w:rsid w:val="006D50C3"/>
    <w:rsid w:val="006E35DE"/>
    <w:rsid w:val="006E4952"/>
    <w:rsid w:val="006E4EB8"/>
    <w:rsid w:val="006E6300"/>
    <w:rsid w:val="006F2890"/>
    <w:rsid w:val="006F32B5"/>
    <w:rsid w:val="006F69F5"/>
    <w:rsid w:val="006F7E4D"/>
    <w:rsid w:val="007039BB"/>
    <w:rsid w:val="00706C6A"/>
    <w:rsid w:val="00707883"/>
    <w:rsid w:val="007119EE"/>
    <w:rsid w:val="00713389"/>
    <w:rsid w:val="0071463B"/>
    <w:rsid w:val="00716EBA"/>
    <w:rsid w:val="0072038D"/>
    <w:rsid w:val="00721C50"/>
    <w:rsid w:val="00721CB9"/>
    <w:rsid w:val="00723C66"/>
    <w:rsid w:val="00724828"/>
    <w:rsid w:val="007340FB"/>
    <w:rsid w:val="00736029"/>
    <w:rsid w:val="00736721"/>
    <w:rsid w:val="00736B7D"/>
    <w:rsid w:val="00737B8C"/>
    <w:rsid w:val="00743F5B"/>
    <w:rsid w:val="0074636D"/>
    <w:rsid w:val="00746D21"/>
    <w:rsid w:val="00753E70"/>
    <w:rsid w:val="007562B6"/>
    <w:rsid w:val="0075746A"/>
    <w:rsid w:val="00757782"/>
    <w:rsid w:val="00760D6D"/>
    <w:rsid w:val="00760EF6"/>
    <w:rsid w:val="0076123B"/>
    <w:rsid w:val="00761417"/>
    <w:rsid w:val="007673E2"/>
    <w:rsid w:val="007739C1"/>
    <w:rsid w:val="00775435"/>
    <w:rsid w:val="00775645"/>
    <w:rsid w:val="00776796"/>
    <w:rsid w:val="007770C1"/>
    <w:rsid w:val="007776A0"/>
    <w:rsid w:val="0078060D"/>
    <w:rsid w:val="00782FD4"/>
    <w:rsid w:val="0078369F"/>
    <w:rsid w:val="00783E7C"/>
    <w:rsid w:val="00786899"/>
    <w:rsid w:val="00787872"/>
    <w:rsid w:val="0079026B"/>
    <w:rsid w:val="00792FE0"/>
    <w:rsid w:val="00793357"/>
    <w:rsid w:val="007959C2"/>
    <w:rsid w:val="00796BF3"/>
    <w:rsid w:val="007A30B0"/>
    <w:rsid w:val="007A4427"/>
    <w:rsid w:val="007A5905"/>
    <w:rsid w:val="007A6A2B"/>
    <w:rsid w:val="007A76BA"/>
    <w:rsid w:val="007A7979"/>
    <w:rsid w:val="007A7A09"/>
    <w:rsid w:val="007C2E29"/>
    <w:rsid w:val="007C7C06"/>
    <w:rsid w:val="007C7D70"/>
    <w:rsid w:val="007D2E71"/>
    <w:rsid w:val="007D3A7E"/>
    <w:rsid w:val="007D4551"/>
    <w:rsid w:val="007D5647"/>
    <w:rsid w:val="007D69FB"/>
    <w:rsid w:val="007D6F4F"/>
    <w:rsid w:val="007E08B5"/>
    <w:rsid w:val="007E3543"/>
    <w:rsid w:val="007E3B46"/>
    <w:rsid w:val="007E4EA8"/>
    <w:rsid w:val="007E5CEE"/>
    <w:rsid w:val="007F0224"/>
    <w:rsid w:val="007F6B74"/>
    <w:rsid w:val="007F7396"/>
    <w:rsid w:val="00806D33"/>
    <w:rsid w:val="008070FF"/>
    <w:rsid w:val="00812C09"/>
    <w:rsid w:val="00813B37"/>
    <w:rsid w:val="00816FA4"/>
    <w:rsid w:val="008231CD"/>
    <w:rsid w:val="00823D4C"/>
    <w:rsid w:val="00824ED3"/>
    <w:rsid w:val="00825812"/>
    <w:rsid w:val="00825B0F"/>
    <w:rsid w:val="008270DB"/>
    <w:rsid w:val="00831571"/>
    <w:rsid w:val="00831ACA"/>
    <w:rsid w:val="00832819"/>
    <w:rsid w:val="00832A7D"/>
    <w:rsid w:val="00832EC9"/>
    <w:rsid w:val="008350B3"/>
    <w:rsid w:val="008354F1"/>
    <w:rsid w:val="0083706A"/>
    <w:rsid w:val="00843CC7"/>
    <w:rsid w:val="00843E28"/>
    <w:rsid w:val="00844E16"/>
    <w:rsid w:val="00845FE9"/>
    <w:rsid w:val="00851BD4"/>
    <w:rsid w:val="00854AC6"/>
    <w:rsid w:val="0085586F"/>
    <w:rsid w:val="00860691"/>
    <w:rsid w:val="008639BB"/>
    <w:rsid w:val="00864CE3"/>
    <w:rsid w:val="008658AA"/>
    <w:rsid w:val="00872D64"/>
    <w:rsid w:val="00872E13"/>
    <w:rsid w:val="00873A4D"/>
    <w:rsid w:val="00873F64"/>
    <w:rsid w:val="00874896"/>
    <w:rsid w:val="0088027B"/>
    <w:rsid w:val="00881779"/>
    <w:rsid w:val="008839EC"/>
    <w:rsid w:val="00886C2B"/>
    <w:rsid w:val="008A0717"/>
    <w:rsid w:val="008A0F51"/>
    <w:rsid w:val="008A3DF0"/>
    <w:rsid w:val="008A4387"/>
    <w:rsid w:val="008A4440"/>
    <w:rsid w:val="008A46A7"/>
    <w:rsid w:val="008A699D"/>
    <w:rsid w:val="008A754C"/>
    <w:rsid w:val="008B0DAB"/>
    <w:rsid w:val="008B13A2"/>
    <w:rsid w:val="008B3503"/>
    <w:rsid w:val="008B4278"/>
    <w:rsid w:val="008B569E"/>
    <w:rsid w:val="008C43E4"/>
    <w:rsid w:val="008C4527"/>
    <w:rsid w:val="008C6B51"/>
    <w:rsid w:val="008C718C"/>
    <w:rsid w:val="008C7B48"/>
    <w:rsid w:val="008D70FB"/>
    <w:rsid w:val="008E2EA6"/>
    <w:rsid w:val="008E38BD"/>
    <w:rsid w:val="008E6AE8"/>
    <w:rsid w:val="008E6EC5"/>
    <w:rsid w:val="008E74AE"/>
    <w:rsid w:val="008E7D4D"/>
    <w:rsid w:val="008F09EF"/>
    <w:rsid w:val="008F2A4E"/>
    <w:rsid w:val="008F3EFC"/>
    <w:rsid w:val="008F47D2"/>
    <w:rsid w:val="008F6A2A"/>
    <w:rsid w:val="00902DDA"/>
    <w:rsid w:val="0090427B"/>
    <w:rsid w:val="00904389"/>
    <w:rsid w:val="00904BF2"/>
    <w:rsid w:val="00906D9E"/>
    <w:rsid w:val="00912126"/>
    <w:rsid w:val="009131A9"/>
    <w:rsid w:val="009158C6"/>
    <w:rsid w:val="00915E2A"/>
    <w:rsid w:val="00921660"/>
    <w:rsid w:val="009229D3"/>
    <w:rsid w:val="00922A7E"/>
    <w:rsid w:val="00922E6D"/>
    <w:rsid w:val="0092457F"/>
    <w:rsid w:val="009246DA"/>
    <w:rsid w:val="00926ED2"/>
    <w:rsid w:val="00930A29"/>
    <w:rsid w:val="0093308D"/>
    <w:rsid w:val="0093349C"/>
    <w:rsid w:val="0093648B"/>
    <w:rsid w:val="00936840"/>
    <w:rsid w:val="00941412"/>
    <w:rsid w:val="009428A5"/>
    <w:rsid w:val="00942CBD"/>
    <w:rsid w:val="00942DD3"/>
    <w:rsid w:val="00947035"/>
    <w:rsid w:val="00950BC2"/>
    <w:rsid w:val="00953081"/>
    <w:rsid w:val="00953507"/>
    <w:rsid w:val="009642B4"/>
    <w:rsid w:val="00964F6D"/>
    <w:rsid w:val="009667CF"/>
    <w:rsid w:val="0096740A"/>
    <w:rsid w:val="00972E19"/>
    <w:rsid w:val="00974CBC"/>
    <w:rsid w:val="0097690C"/>
    <w:rsid w:val="009812EE"/>
    <w:rsid w:val="00991A1E"/>
    <w:rsid w:val="00991D52"/>
    <w:rsid w:val="0099318E"/>
    <w:rsid w:val="0099349B"/>
    <w:rsid w:val="009938DF"/>
    <w:rsid w:val="009967F3"/>
    <w:rsid w:val="009A3C81"/>
    <w:rsid w:val="009A44B8"/>
    <w:rsid w:val="009A729A"/>
    <w:rsid w:val="009A7EFF"/>
    <w:rsid w:val="009B145A"/>
    <w:rsid w:val="009C23DE"/>
    <w:rsid w:val="009C36C1"/>
    <w:rsid w:val="009C7030"/>
    <w:rsid w:val="009C7253"/>
    <w:rsid w:val="009D04DA"/>
    <w:rsid w:val="009D4B8C"/>
    <w:rsid w:val="009D52C4"/>
    <w:rsid w:val="009D7FA0"/>
    <w:rsid w:val="009E143F"/>
    <w:rsid w:val="009E2201"/>
    <w:rsid w:val="009E2E89"/>
    <w:rsid w:val="009E6308"/>
    <w:rsid w:val="009F56E1"/>
    <w:rsid w:val="009F6481"/>
    <w:rsid w:val="00A0104C"/>
    <w:rsid w:val="00A03530"/>
    <w:rsid w:val="00A03E64"/>
    <w:rsid w:val="00A03F13"/>
    <w:rsid w:val="00A04A4F"/>
    <w:rsid w:val="00A06A34"/>
    <w:rsid w:val="00A06E49"/>
    <w:rsid w:val="00A07585"/>
    <w:rsid w:val="00A111E9"/>
    <w:rsid w:val="00A11554"/>
    <w:rsid w:val="00A12E30"/>
    <w:rsid w:val="00A138FF"/>
    <w:rsid w:val="00A20305"/>
    <w:rsid w:val="00A20B11"/>
    <w:rsid w:val="00A229E8"/>
    <w:rsid w:val="00A25D20"/>
    <w:rsid w:val="00A26012"/>
    <w:rsid w:val="00A27BEE"/>
    <w:rsid w:val="00A30A68"/>
    <w:rsid w:val="00A32B11"/>
    <w:rsid w:val="00A32DCA"/>
    <w:rsid w:val="00A34FAA"/>
    <w:rsid w:val="00A35354"/>
    <w:rsid w:val="00A35493"/>
    <w:rsid w:val="00A36F60"/>
    <w:rsid w:val="00A41318"/>
    <w:rsid w:val="00A4589D"/>
    <w:rsid w:val="00A46D3F"/>
    <w:rsid w:val="00A47778"/>
    <w:rsid w:val="00A52F82"/>
    <w:rsid w:val="00A55E53"/>
    <w:rsid w:val="00A569E2"/>
    <w:rsid w:val="00A614DA"/>
    <w:rsid w:val="00A61A9A"/>
    <w:rsid w:val="00A64FFD"/>
    <w:rsid w:val="00A7045B"/>
    <w:rsid w:val="00A71481"/>
    <w:rsid w:val="00A7195A"/>
    <w:rsid w:val="00A727FC"/>
    <w:rsid w:val="00A72E3F"/>
    <w:rsid w:val="00A77456"/>
    <w:rsid w:val="00A815A7"/>
    <w:rsid w:val="00A86591"/>
    <w:rsid w:val="00A9444A"/>
    <w:rsid w:val="00A97545"/>
    <w:rsid w:val="00AA03B9"/>
    <w:rsid w:val="00AA0EA3"/>
    <w:rsid w:val="00AA1889"/>
    <w:rsid w:val="00AA33E5"/>
    <w:rsid w:val="00AA58FD"/>
    <w:rsid w:val="00AA62EE"/>
    <w:rsid w:val="00AA6DE6"/>
    <w:rsid w:val="00AA7754"/>
    <w:rsid w:val="00AB4252"/>
    <w:rsid w:val="00AB7040"/>
    <w:rsid w:val="00AB7414"/>
    <w:rsid w:val="00AC014C"/>
    <w:rsid w:val="00AC1929"/>
    <w:rsid w:val="00AC2127"/>
    <w:rsid w:val="00AC2E6A"/>
    <w:rsid w:val="00AD1899"/>
    <w:rsid w:val="00AD3B2F"/>
    <w:rsid w:val="00AD45AD"/>
    <w:rsid w:val="00AD5724"/>
    <w:rsid w:val="00AD77B0"/>
    <w:rsid w:val="00AE1A8F"/>
    <w:rsid w:val="00AE5C34"/>
    <w:rsid w:val="00AE705F"/>
    <w:rsid w:val="00AF2AD2"/>
    <w:rsid w:val="00AF3927"/>
    <w:rsid w:val="00B07A4A"/>
    <w:rsid w:val="00B10FB6"/>
    <w:rsid w:val="00B13106"/>
    <w:rsid w:val="00B16C3A"/>
    <w:rsid w:val="00B17715"/>
    <w:rsid w:val="00B213DF"/>
    <w:rsid w:val="00B2169C"/>
    <w:rsid w:val="00B22C39"/>
    <w:rsid w:val="00B23296"/>
    <w:rsid w:val="00B23B85"/>
    <w:rsid w:val="00B24BC2"/>
    <w:rsid w:val="00B25464"/>
    <w:rsid w:val="00B26A08"/>
    <w:rsid w:val="00B2760B"/>
    <w:rsid w:val="00B30201"/>
    <w:rsid w:val="00B33B9B"/>
    <w:rsid w:val="00B33C0C"/>
    <w:rsid w:val="00B37E69"/>
    <w:rsid w:val="00B40253"/>
    <w:rsid w:val="00B42577"/>
    <w:rsid w:val="00B537D5"/>
    <w:rsid w:val="00B554AB"/>
    <w:rsid w:val="00B62594"/>
    <w:rsid w:val="00B63D17"/>
    <w:rsid w:val="00B64402"/>
    <w:rsid w:val="00B64C66"/>
    <w:rsid w:val="00B6650E"/>
    <w:rsid w:val="00B712E8"/>
    <w:rsid w:val="00B72AD3"/>
    <w:rsid w:val="00B73952"/>
    <w:rsid w:val="00B83664"/>
    <w:rsid w:val="00B84BA4"/>
    <w:rsid w:val="00B92188"/>
    <w:rsid w:val="00B92492"/>
    <w:rsid w:val="00B97E44"/>
    <w:rsid w:val="00BA6F71"/>
    <w:rsid w:val="00BB025C"/>
    <w:rsid w:val="00BB2894"/>
    <w:rsid w:val="00BB2D8B"/>
    <w:rsid w:val="00BB47F8"/>
    <w:rsid w:val="00BB49D5"/>
    <w:rsid w:val="00BC2652"/>
    <w:rsid w:val="00BC2CB6"/>
    <w:rsid w:val="00BC4EBC"/>
    <w:rsid w:val="00BC583F"/>
    <w:rsid w:val="00BD4DBB"/>
    <w:rsid w:val="00BD5296"/>
    <w:rsid w:val="00BD65CC"/>
    <w:rsid w:val="00BD6929"/>
    <w:rsid w:val="00BE40ED"/>
    <w:rsid w:val="00BE6B95"/>
    <w:rsid w:val="00BF4269"/>
    <w:rsid w:val="00BF4FCD"/>
    <w:rsid w:val="00BF70D5"/>
    <w:rsid w:val="00C0199A"/>
    <w:rsid w:val="00C027A9"/>
    <w:rsid w:val="00C03CD6"/>
    <w:rsid w:val="00C06520"/>
    <w:rsid w:val="00C07B24"/>
    <w:rsid w:val="00C104D4"/>
    <w:rsid w:val="00C1066F"/>
    <w:rsid w:val="00C10DEB"/>
    <w:rsid w:val="00C16D65"/>
    <w:rsid w:val="00C1751C"/>
    <w:rsid w:val="00C2117A"/>
    <w:rsid w:val="00C2202E"/>
    <w:rsid w:val="00C23103"/>
    <w:rsid w:val="00C24432"/>
    <w:rsid w:val="00C33E38"/>
    <w:rsid w:val="00C35CA2"/>
    <w:rsid w:val="00C40402"/>
    <w:rsid w:val="00C433BE"/>
    <w:rsid w:val="00C44A81"/>
    <w:rsid w:val="00C50720"/>
    <w:rsid w:val="00C51B21"/>
    <w:rsid w:val="00C5226D"/>
    <w:rsid w:val="00C552C8"/>
    <w:rsid w:val="00C56081"/>
    <w:rsid w:val="00C60E0C"/>
    <w:rsid w:val="00C66EB0"/>
    <w:rsid w:val="00C70C5B"/>
    <w:rsid w:val="00C71B67"/>
    <w:rsid w:val="00C75801"/>
    <w:rsid w:val="00C7638B"/>
    <w:rsid w:val="00C76569"/>
    <w:rsid w:val="00C80A85"/>
    <w:rsid w:val="00C820AF"/>
    <w:rsid w:val="00C91722"/>
    <w:rsid w:val="00C91F46"/>
    <w:rsid w:val="00C96ABA"/>
    <w:rsid w:val="00CA4256"/>
    <w:rsid w:val="00CB0123"/>
    <w:rsid w:val="00CB1D8E"/>
    <w:rsid w:val="00CB4BBA"/>
    <w:rsid w:val="00CC1436"/>
    <w:rsid w:val="00CC6244"/>
    <w:rsid w:val="00CD0D2A"/>
    <w:rsid w:val="00CD21B4"/>
    <w:rsid w:val="00CD565E"/>
    <w:rsid w:val="00CE08A0"/>
    <w:rsid w:val="00CE36B2"/>
    <w:rsid w:val="00CE49F5"/>
    <w:rsid w:val="00CF1BBD"/>
    <w:rsid w:val="00CF66A6"/>
    <w:rsid w:val="00CF6D36"/>
    <w:rsid w:val="00D00A69"/>
    <w:rsid w:val="00D03400"/>
    <w:rsid w:val="00D03DFE"/>
    <w:rsid w:val="00D064D5"/>
    <w:rsid w:val="00D11CD3"/>
    <w:rsid w:val="00D13D3E"/>
    <w:rsid w:val="00D151F1"/>
    <w:rsid w:val="00D15B66"/>
    <w:rsid w:val="00D16B6B"/>
    <w:rsid w:val="00D24285"/>
    <w:rsid w:val="00D26D74"/>
    <w:rsid w:val="00D275DA"/>
    <w:rsid w:val="00D3041D"/>
    <w:rsid w:val="00D30B55"/>
    <w:rsid w:val="00D30D05"/>
    <w:rsid w:val="00D30DE4"/>
    <w:rsid w:val="00D36877"/>
    <w:rsid w:val="00D40275"/>
    <w:rsid w:val="00D407BA"/>
    <w:rsid w:val="00D43C93"/>
    <w:rsid w:val="00D45380"/>
    <w:rsid w:val="00D4734B"/>
    <w:rsid w:val="00D47B62"/>
    <w:rsid w:val="00D51768"/>
    <w:rsid w:val="00D53CDB"/>
    <w:rsid w:val="00D55058"/>
    <w:rsid w:val="00D57A49"/>
    <w:rsid w:val="00D60DAB"/>
    <w:rsid w:val="00D631D0"/>
    <w:rsid w:val="00D635E8"/>
    <w:rsid w:val="00D6755A"/>
    <w:rsid w:val="00D720E5"/>
    <w:rsid w:val="00D74BE2"/>
    <w:rsid w:val="00D766DF"/>
    <w:rsid w:val="00D825BA"/>
    <w:rsid w:val="00D83374"/>
    <w:rsid w:val="00D841A2"/>
    <w:rsid w:val="00D85EA6"/>
    <w:rsid w:val="00D875B7"/>
    <w:rsid w:val="00D90906"/>
    <w:rsid w:val="00D927A4"/>
    <w:rsid w:val="00D937BF"/>
    <w:rsid w:val="00D94AB4"/>
    <w:rsid w:val="00DA1D64"/>
    <w:rsid w:val="00DA1F32"/>
    <w:rsid w:val="00DA482A"/>
    <w:rsid w:val="00DA5647"/>
    <w:rsid w:val="00DB4530"/>
    <w:rsid w:val="00DB5900"/>
    <w:rsid w:val="00DB68BC"/>
    <w:rsid w:val="00DC1D86"/>
    <w:rsid w:val="00DC1E93"/>
    <w:rsid w:val="00DC1FA6"/>
    <w:rsid w:val="00DC300B"/>
    <w:rsid w:val="00DC343D"/>
    <w:rsid w:val="00DC7D10"/>
    <w:rsid w:val="00DC7F80"/>
    <w:rsid w:val="00DD1795"/>
    <w:rsid w:val="00DD1DA7"/>
    <w:rsid w:val="00DD21A4"/>
    <w:rsid w:val="00DD254D"/>
    <w:rsid w:val="00DD26B3"/>
    <w:rsid w:val="00DD357D"/>
    <w:rsid w:val="00DD44D1"/>
    <w:rsid w:val="00DD4F00"/>
    <w:rsid w:val="00DE0979"/>
    <w:rsid w:val="00DE335E"/>
    <w:rsid w:val="00DF265E"/>
    <w:rsid w:val="00DF4520"/>
    <w:rsid w:val="00DF67A7"/>
    <w:rsid w:val="00E05669"/>
    <w:rsid w:val="00E075A7"/>
    <w:rsid w:val="00E1167C"/>
    <w:rsid w:val="00E137F7"/>
    <w:rsid w:val="00E218E4"/>
    <w:rsid w:val="00E22527"/>
    <w:rsid w:val="00E22813"/>
    <w:rsid w:val="00E24936"/>
    <w:rsid w:val="00E2511D"/>
    <w:rsid w:val="00E337DD"/>
    <w:rsid w:val="00E34E00"/>
    <w:rsid w:val="00E35A6B"/>
    <w:rsid w:val="00E401C5"/>
    <w:rsid w:val="00E428AE"/>
    <w:rsid w:val="00E45517"/>
    <w:rsid w:val="00E46A77"/>
    <w:rsid w:val="00E47038"/>
    <w:rsid w:val="00E47FA2"/>
    <w:rsid w:val="00E5005C"/>
    <w:rsid w:val="00E52FA8"/>
    <w:rsid w:val="00E54ED1"/>
    <w:rsid w:val="00E55371"/>
    <w:rsid w:val="00E575F5"/>
    <w:rsid w:val="00E60656"/>
    <w:rsid w:val="00E6224C"/>
    <w:rsid w:val="00E62347"/>
    <w:rsid w:val="00E63ECB"/>
    <w:rsid w:val="00E66278"/>
    <w:rsid w:val="00E71343"/>
    <w:rsid w:val="00E72D0A"/>
    <w:rsid w:val="00E742F5"/>
    <w:rsid w:val="00E7523B"/>
    <w:rsid w:val="00E823B4"/>
    <w:rsid w:val="00E82BB8"/>
    <w:rsid w:val="00E83B07"/>
    <w:rsid w:val="00E84124"/>
    <w:rsid w:val="00E84AA1"/>
    <w:rsid w:val="00E90F95"/>
    <w:rsid w:val="00E91EAB"/>
    <w:rsid w:val="00E95E86"/>
    <w:rsid w:val="00E96057"/>
    <w:rsid w:val="00EA36CB"/>
    <w:rsid w:val="00EB5162"/>
    <w:rsid w:val="00EB651E"/>
    <w:rsid w:val="00EB6775"/>
    <w:rsid w:val="00EC2E44"/>
    <w:rsid w:val="00EC6D02"/>
    <w:rsid w:val="00ED09E6"/>
    <w:rsid w:val="00ED2CC7"/>
    <w:rsid w:val="00ED45A1"/>
    <w:rsid w:val="00ED762C"/>
    <w:rsid w:val="00ED7686"/>
    <w:rsid w:val="00EE13EA"/>
    <w:rsid w:val="00EE2073"/>
    <w:rsid w:val="00EE394B"/>
    <w:rsid w:val="00EF08B4"/>
    <w:rsid w:val="00EF09E5"/>
    <w:rsid w:val="00EF1928"/>
    <w:rsid w:val="00F002D4"/>
    <w:rsid w:val="00F01A9B"/>
    <w:rsid w:val="00F06436"/>
    <w:rsid w:val="00F067F0"/>
    <w:rsid w:val="00F06E99"/>
    <w:rsid w:val="00F07DF5"/>
    <w:rsid w:val="00F11088"/>
    <w:rsid w:val="00F11488"/>
    <w:rsid w:val="00F128E1"/>
    <w:rsid w:val="00F14E5C"/>
    <w:rsid w:val="00F15F77"/>
    <w:rsid w:val="00F16BF9"/>
    <w:rsid w:val="00F21F8F"/>
    <w:rsid w:val="00F342EF"/>
    <w:rsid w:val="00F4346C"/>
    <w:rsid w:val="00F43FB2"/>
    <w:rsid w:val="00F4405C"/>
    <w:rsid w:val="00F50023"/>
    <w:rsid w:val="00F50408"/>
    <w:rsid w:val="00F51445"/>
    <w:rsid w:val="00F53805"/>
    <w:rsid w:val="00F5630E"/>
    <w:rsid w:val="00F61407"/>
    <w:rsid w:val="00F62A3B"/>
    <w:rsid w:val="00F62A76"/>
    <w:rsid w:val="00F62B1E"/>
    <w:rsid w:val="00F63DBA"/>
    <w:rsid w:val="00F64B00"/>
    <w:rsid w:val="00F67C3F"/>
    <w:rsid w:val="00F702FA"/>
    <w:rsid w:val="00F75761"/>
    <w:rsid w:val="00F75886"/>
    <w:rsid w:val="00F769C1"/>
    <w:rsid w:val="00F82BC8"/>
    <w:rsid w:val="00F84D8F"/>
    <w:rsid w:val="00F90115"/>
    <w:rsid w:val="00F90922"/>
    <w:rsid w:val="00F938E0"/>
    <w:rsid w:val="00F93C54"/>
    <w:rsid w:val="00F948AF"/>
    <w:rsid w:val="00F971A6"/>
    <w:rsid w:val="00FA2229"/>
    <w:rsid w:val="00FA26B3"/>
    <w:rsid w:val="00FA3398"/>
    <w:rsid w:val="00FA361C"/>
    <w:rsid w:val="00FB246E"/>
    <w:rsid w:val="00FB4700"/>
    <w:rsid w:val="00FC01D0"/>
    <w:rsid w:val="00FC12CC"/>
    <w:rsid w:val="00FC241B"/>
    <w:rsid w:val="00FC383C"/>
    <w:rsid w:val="00FC4C7A"/>
    <w:rsid w:val="00FC4FE4"/>
    <w:rsid w:val="00FC584A"/>
    <w:rsid w:val="00FD09EE"/>
    <w:rsid w:val="00FD0AA8"/>
    <w:rsid w:val="00FD13D2"/>
    <w:rsid w:val="00FD3B73"/>
    <w:rsid w:val="00FD7645"/>
    <w:rsid w:val="00FE3308"/>
    <w:rsid w:val="00FE5EA6"/>
    <w:rsid w:val="00FE66B0"/>
    <w:rsid w:val="00FF07EB"/>
    <w:rsid w:val="00FF2907"/>
    <w:rsid w:val="00FF565A"/>
    <w:rsid w:val="00FF7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F3D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36DCD"/>
    <w:rPr>
      <w:rFonts w:ascii="Book Antiqua" w:hAnsi="Book Antiqu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36DCD"/>
    <w:rPr>
      <w:rFonts w:cs="Times New Roman"/>
      <w:color w:val="0000FF"/>
      <w:u w:val="single"/>
    </w:rPr>
  </w:style>
  <w:style w:type="paragraph" w:customStyle="1" w:styleId="Anrede">
    <w:name w:val="_Anrede"/>
    <w:basedOn w:val="Text"/>
    <w:rsid w:val="00336DCD"/>
    <w:pPr>
      <w:spacing w:after="0"/>
    </w:pPr>
  </w:style>
  <w:style w:type="paragraph" w:customStyle="1" w:styleId="Text">
    <w:name w:val="Text"/>
    <w:basedOn w:val="Standard"/>
    <w:rsid w:val="00336DCD"/>
    <w:pPr>
      <w:spacing w:after="280"/>
    </w:pPr>
    <w:rPr>
      <w:sz w:val="22"/>
    </w:rPr>
  </w:style>
  <w:style w:type="paragraph" w:customStyle="1" w:styleId="Betreff">
    <w:name w:val="Betreff"/>
    <w:basedOn w:val="Text"/>
    <w:rsid w:val="00336DCD"/>
    <w:pPr>
      <w:spacing w:after="0"/>
    </w:pPr>
    <w:rPr>
      <w:b/>
    </w:rPr>
  </w:style>
  <w:style w:type="paragraph" w:customStyle="1" w:styleId="KontaktBezeichner">
    <w:name w:val="KontaktBezeichner"/>
    <w:basedOn w:val="Text"/>
    <w:rsid w:val="00336DCD"/>
    <w:pPr>
      <w:spacing w:after="0"/>
    </w:pPr>
    <w:rPr>
      <w:sz w:val="16"/>
    </w:rPr>
  </w:style>
  <w:style w:type="paragraph" w:customStyle="1" w:styleId="Absenderadresse">
    <w:name w:val="Absenderadresse"/>
    <w:basedOn w:val="Text"/>
    <w:rsid w:val="00336DCD"/>
    <w:pPr>
      <w:spacing w:after="0"/>
    </w:pPr>
    <w:rPr>
      <w:sz w:val="12"/>
    </w:rPr>
  </w:style>
  <w:style w:type="paragraph" w:customStyle="1" w:styleId="Textabsatzlos">
    <w:name w:val="Text (absatzlos)"/>
    <w:basedOn w:val="Text"/>
    <w:rsid w:val="00336DCD"/>
    <w:pPr>
      <w:spacing w:after="0"/>
    </w:pPr>
  </w:style>
  <w:style w:type="paragraph" w:styleId="Kopfzeile">
    <w:name w:val="header"/>
    <w:basedOn w:val="Standard"/>
    <w:link w:val="KopfzeileZchn"/>
    <w:rsid w:val="00336DCD"/>
    <w:pPr>
      <w:tabs>
        <w:tab w:val="center" w:pos="4536"/>
        <w:tab w:val="right" w:pos="9072"/>
      </w:tabs>
    </w:pPr>
    <w:rPr>
      <w:lang w:val="x-none" w:eastAsia="x-none"/>
    </w:rPr>
  </w:style>
  <w:style w:type="character" w:customStyle="1" w:styleId="KopfzeileZchn">
    <w:name w:val="Kopfzeile Zchn"/>
    <w:link w:val="Kopfzeile"/>
    <w:rsid w:val="00ED2CC7"/>
    <w:rPr>
      <w:rFonts w:ascii="Book Antiqua" w:hAnsi="Book Antiqua"/>
      <w:sz w:val="24"/>
    </w:rPr>
  </w:style>
  <w:style w:type="paragraph" w:styleId="Fuzeile">
    <w:name w:val="footer"/>
    <w:basedOn w:val="Standard"/>
    <w:link w:val="FuzeileZchn"/>
    <w:uiPriority w:val="99"/>
    <w:rsid w:val="00336DCD"/>
    <w:pPr>
      <w:tabs>
        <w:tab w:val="center" w:pos="4536"/>
        <w:tab w:val="right" w:pos="9072"/>
      </w:tabs>
    </w:pPr>
    <w:rPr>
      <w:lang w:val="x-none" w:eastAsia="x-none"/>
    </w:rPr>
  </w:style>
  <w:style w:type="character" w:customStyle="1" w:styleId="FuzeileZchn">
    <w:name w:val="Fußzeile Zchn"/>
    <w:link w:val="Fuzeile"/>
    <w:uiPriority w:val="99"/>
    <w:rsid w:val="00ED2CC7"/>
    <w:rPr>
      <w:rFonts w:ascii="Book Antiqua" w:hAnsi="Book Antiqua"/>
      <w:sz w:val="24"/>
    </w:rPr>
  </w:style>
  <w:style w:type="table" w:customStyle="1" w:styleId="Tabellengitternetz">
    <w:name w:val="Tabellengitternetz"/>
    <w:basedOn w:val="NormaleTabelle"/>
    <w:rsid w:val="00336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36DCD"/>
    <w:rPr>
      <w:rFonts w:ascii="Tahoma" w:hAnsi="Tahoma"/>
      <w:sz w:val="16"/>
      <w:szCs w:val="16"/>
      <w:lang w:val="x-none" w:eastAsia="x-none"/>
    </w:rPr>
  </w:style>
  <w:style w:type="character" w:customStyle="1" w:styleId="SprechblasentextZchn">
    <w:name w:val="Sprechblasentext Zchn"/>
    <w:link w:val="Sprechblasentext"/>
    <w:rsid w:val="00ED2CC7"/>
    <w:rPr>
      <w:rFonts w:ascii="Tahoma" w:hAnsi="Tahoma" w:cs="Tahoma"/>
      <w:sz w:val="16"/>
      <w:szCs w:val="16"/>
    </w:rPr>
  </w:style>
  <w:style w:type="paragraph" w:styleId="StandardWeb">
    <w:name w:val="Normal (Web)"/>
    <w:basedOn w:val="Standard"/>
    <w:rsid w:val="00B92492"/>
    <w:rPr>
      <w:rFonts w:ascii="Arial" w:hAnsi="Arial" w:cs="Arial"/>
      <w:color w:val="666666"/>
      <w:sz w:val="12"/>
      <w:szCs w:val="12"/>
    </w:rPr>
  </w:style>
  <w:style w:type="table" w:styleId="Tabellenraster">
    <w:name w:val="Table Grid"/>
    <w:basedOn w:val="NormaleTabelle"/>
    <w:rsid w:val="00A0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Einfach1">
    <w:name w:val="Table Simple 1"/>
    <w:basedOn w:val="NormaleTabelle"/>
    <w:rsid w:val="00A03F1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Raster8">
    <w:name w:val="Table Grid 8"/>
    <w:basedOn w:val="NormaleTabelle"/>
    <w:rsid w:val="00A03F1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BesuchterLink">
    <w:name w:val="FollowedHyperlink"/>
    <w:basedOn w:val="Absatz-Standardschriftart"/>
    <w:rsid w:val="003D0E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8748">
      <w:bodyDiv w:val="1"/>
      <w:marLeft w:val="0"/>
      <w:marRight w:val="0"/>
      <w:marTop w:val="0"/>
      <w:marBottom w:val="0"/>
      <w:divBdr>
        <w:top w:val="none" w:sz="0" w:space="0" w:color="auto"/>
        <w:left w:val="none" w:sz="0" w:space="0" w:color="auto"/>
        <w:bottom w:val="none" w:sz="0" w:space="0" w:color="auto"/>
        <w:right w:val="none" w:sz="0" w:space="0" w:color="auto"/>
      </w:divBdr>
    </w:div>
    <w:div w:id="80686520">
      <w:bodyDiv w:val="1"/>
      <w:marLeft w:val="0"/>
      <w:marRight w:val="0"/>
      <w:marTop w:val="0"/>
      <w:marBottom w:val="0"/>
      <w:divBdr>
        <w:top w:val="none" w:sz="0" w:space="0" w:color="auto"/>
        <w:left w:val="none" w:sz="0" w:space="0" w:color="auto"/>
        <w:bottom w:val="none" w:sz="0" w:space="0" w:color="auto"/>
        <w:right w:val="none" w:sz="0" w:space="0" w:color="auto"/>
      </w:divBdr>
    </w:div>
    <w:div w:id="245186918">
      <w:bodyDiv w:val="1"/>
      <w:marLeft w:val="0"/>
      <w:marRight w:val="0"/>
      <w:marTop w:val="0"/>
      <w:marBottom w:val="0"/>
      <w:divBdr>
        <w:top w:val="none" w:sz="0" w:space="0" w:color="auto"/>
        <w:left w:val="none" w:sz="0" w:space="0" w:color="auto"/>
        <w:bottom w:val="none" w:sz="0" w:space="0" w:color="auto"/>
        <w:right w:val="none" w:sz="0" w:space="0" w:color="auto"/>
      </w:divBdr>
    </w:div>
    <w:div w:id="305163109">
      <w:bodyDiv w:val="1"/>
      <w:marLeft w:val="0"/>
      <w:marRight w:val="0"/>
      <w:marTop w:val="0"/>
      <w:marBottom w:val="0"/>
      <w:divBdr>
        <w:top w:val="none" w:sz="0" w:space="0" w:color="auto"/>
        <w:left w:val="none" w:sz="0" w:space="0" w:color="auto"/>
        <w:bottom w:val="none" w:sz="0" w:space="0" w:color="auto"/>
        <w:right w:val="none" w:sz="0" w:space="0" w:color="auto"/>
      </w:divBdr>
    </w:div>
    <w:div w:id="366638960">
      <w:marLeft w:val="0"/>
      <w:marRight w:val="0"/>
      <w:marTop w:val="0"/>
      <w:marBottom w:val="0"/>
      <w:divBdr>
        <w:top w:val="none" w:sz="0" w:space="0" w:color="auto"/>
        <w:left w:val="none" w:sz="0" w:space="0" w:color="auto"/>
        <w:bottom w:val="none" w:sz="0" w:space="0" w:color="auto"/>
        <w:right w:val="none" w:sz="0" w:space="0" w:color="auto"/>
      </w:divBdr>
      <w:divsChild>
        <w:div w:id="366638966">
          <w:marLeft w:val="0"/>
          <w:marRight w:val="0"/>
          <w:marTop w:val="0"/>
          <w:marBottom w:val="0"/>
          <w:divBdr>
            <w:top w:val="none" w:sz="0" w:space="0" w:color="auto"/>
            <w:left w:val="none" w:sz="0" w:space="0" w:color="auto"/>
            <w:bottom w:val="none" w:sz="0" w:space="0" w:color="auto"/>
            <w:right w:val="none" w:sz="0" w:space="0" w:color="auto"/>
          </w:divBdr>
        </w:div>
      </w:divsChild>
    </w:div>
    <w:div w:id="366638961">
      <w:marLeft w:val="0"/>
      <w:marRight w:val="0"/>
      <w:marTop w:val="0"/>
      <w:marBottom w:val="0"/>
      <w:divBdr>
        <w:top w:val="none" w:sz="0" w:space="0" w:color="auto"/>
        <w:left w:val="none" w:sz="0" w:space="0" w:color="auto"/>
        <w:bottom w:val="none" w:sz="0" w:space="0" w:color="auto"/>
        <w:right w:val="none" w:sz="0" w:space="0" w:color="auto"/>
      </w:divBdr>
      <w:divsChild>
        <w:div w:id="366638957">
          <w:marLeft w:val="0"/>
          <w:marRight w:val="0"/>
          <w:marTop w:val="51"/>
          <w:marBottom w:val="0"/>
          <w:divBdr>
            <w:top w:val="none" w:sz="0" w:space="0" w:color="auto"/>
            <w:left w:val="none" w:sz="0" w:space="0" w:color="auto"/>
            <w:bottom w:val="none" w:sz="0" w:space="0" w:color="auto"/>
            <w:right w:val="none" w:sz="0" w:space="0" w:color="auto"/>
          </w:divBdr>
        </w:div>
      </w:divsChild>
    </w:div>
    <w:div w:id="366638964">
      <w:marLeft w:val="0"/>
      <w:marRight w:val="0"/>
      <w:marTop w:val="0"/>
      <w:marBottom w:val="0"/>
      <w:divBdr>
        <w:top w:val="none" w:sz="0" w:space="0" w:color="auto"/>
        <w:left w:val="none" w:sz="0" w:space="0" w:color="auto"/>
        <w:bottom w:val="none" w:sz="0" w:space="0" w:color="auto"/>
        <w:right w:val="none" w:sz="0" w:space="0" w:color="auto"/>
      </w:divBdr>
      <w:divsChild>
        <w:div w:id="366638958">
          <w:marLeft w:val="0"/>
          <w:marRight w:val="0"/>
          <w:marTop w:val="0"/>
          <w:marBottom w:val="0"/>
          <w:divBdr>
            <w:top w:val="none" w:sz="0" w:space="0" w:color="auto"/>
            <w:left w:val="none" w:sz="0" w:space="0" w:color="auto"/>
            <w:bottom w:val="none" w:sz="0" w:space="0" w:color="auto"/>
            <w:right w:val="none" w:sz="0" w:space="0" w:color="auto"/>
          </w:divBdr>
        </w:div>
      </w:divsChild>
    </w:div>
    <w:div w:id="366638965">
      <w:marLeft w:val="0"/>
      <w:marRight w:val="0"/>
      <w:marTop w:val="0"/>
      <w:marBottom w:val="0"/>
      <w:divBdr>
        <w:top w:val="none" w:sz="0" w:space="0" w:color="auto"/>
        <w:left w:val="none" w:sz="0" w:space="0" w:color="auto"/>
        <w:bottom w:val="none" w:sz="0" w:space="0" w:color="auto"/>
        <w:right w:val="none" w:sz="0" w:space="0" w:color="auto"/>
      </w:divBdr>
      <w:divsChild>
        <w:div w:id="366638955">
          <w:marLeft w:val="0"/>
          <w:marRight w:val="0"/>
          <w:marTop w:val="0"/>
          <w:marBottom w:val="0"/>
          <w:divBdr>
            <w:top w:val="none" w:sz="0" w:space="0" w:color="auto"/>
            <w:left w:val="none" w:sz="0" w:space="0" w:color="auto"/>
            <w:bottom w:val="none" w:sz="0" w:space="0" w:color="auto"/>
            <w:right w:val="none" w:sz="0" w:space="0" w:color="auto"/>
          </w:divBdr>
          <w:divsChild>
            <w:div w:id="3666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38969">
      <w:marLeft w:val="0"/>
      <w:marRight w:val="0"/>
      <w:marTop w:val="0"/>
      <w:marBottom w:val="0"/>
      <w:divBdr>
        <w:top w:val="none" w:sz="0" w:space="0" w:color="auto"/>
        <w:left w:val="none" w:sz="0" w:space="0" w:color="auto"/>
        <w:bottom w:val="none" w:sz="0" w:space="0" w:color="auto"/>
        <w:right w:val="none" w:sz="0" w:space="0" w:color="auto"/>
      </w:divBdr>
      <w:divsChild>
        <w:div w:id="366638959">
          <w:marLeft w:val="0"/>
          <w:marRight w:val="0"/>
          <w:marTop w:val="0"/>
          <w:marBottom w:val="0"/>
          <w:divBdr>
            <w:top w:val="none" w:sz="0" w:space="0" w:color="auto"/>
            <w:left w:val="none" w:sz="0" w:space="0" w:color="auto"/>
            <w:bottom w:val="none" w:sz="0" w:space="0" w:color="auto"/>
            <w:right w:val="none" w:sz="0" w:space="0" w:color="auto"/>
          </w:divBdr>
          <w:divsChild>
            <w:div w:id="366638956">
              <w:marLeft w:val="0"/>
              <w:marRight w:val="0"/>
              <w:marTop w:val="0"/>
              <w:marBottom w:val="0"/>
              <w:divBdr>
                <w:top w:val="none" w:sz="0" w:space="0" w:color="auto"/>
                <w:left w:val="none" w:sz="0" w:space="0" w:color="auto"/>
                <w:bottom w:val="none" w:sz="0" w:space="0" w:color="auto"/>
                <w:right w:val="none" w:sz="0" w:space="0" w:color="auto"/>
              </w:divBdr>
            </w:div>
            <w:div w:id="3666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38970">
      <w:marLeft w:val="0"/>
      <w:marRight w:val="0"/>
      <w:marTop w:val="0"/>
      <w:marBottom w:val="0"/>
      <w:divBdr>
        <w:top w:val="none" w:sz="0" w:space="0" w:color="auto"/>
        <w:left w:val="none" w:sz="0" w:space="0" w:color="auto"/>
        <w:bottom w:val="none" w:sz="0" w:space="0" w:color="auto"/>
        <w:right w:val="none" w:sz="0" w:space="0" w:color="auto"/>
      </w:divBdr>
      <w:divsChild>
        <w:div w:id="366638968">
          <w:marLeft w:val="0"/>
          <w:marRight w:val="0"/>
          <w:marTop w:val="0"/>
          <w:marBottom w:val="0"/>
          <w:divBdr>
            <w:top w:val="none" w:sz="0" w:space="0" w:color="auto"/>
            <w:left w:val="none" w:sz="0" w:space="0" w:color="auto"/>
            <w:bottom w:val="none" w:sz="0" w:space="0" w:color="auto"/>
            <w:right w:val="none" w:sz="0" w:space="0" w:color="auto"/>
          </w:divBdr>
          <w:divsChild>
            <w:div w:id="3666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0156">
      <w:bodyDiv w:val="1"/>
      <w:marLeft w:val="0"/>
      <w:marRight w:val="0"/>
      <w:marTop w:val="0"/>
      <w:marBottom w:val="0"/>
      <w:divBdr>
        <w:top w:val="none" w:sz="0" w:space="0" w:color="auto"/>
        <w:left w:val="none" w:sz="0" w:space="0" w:color="auto"/>
        <w:bottom w:val="none" w:sz="0" w:space="0" w:color="auto"/>
        <w:right w:val="none" w:sz="0" w:space="0" w:color="auto"/>
      </w:divBdr>
    </w:div>
    <w:div w:id="1066807207">
      <w:bodyDiv w:val="1"/>
      <w:marLeft w:val="0"/>
      <w:marRight w:val="0"/>
      <w:marTop w:val="0"/>
      <w:marBottom w:val="0"/>
      <w:divBdr>
        <w:top w:val="none" w:sz="0" w:space="0" w:color="auto"/>
        <w:left w:val="none" w:sz="0" w:space="0" w:color="auto"/>
        <w:bottom w:val="none" w:sz="0" w:space="0" w:color="auto"/>
        <w:right w:val="none" w:sz="0" w:space="0" w:color="auto"/>
      </w:divBdr>
    </w:div>
    <w:div w:id="1186792030">
      <w:bodyDiv w:val="1"/>
      <w:marLeft w:val="0"/>
      <w:marRight w:val="0"/>
      <w:marTop w:val="0"/>
      <w:marBottom w:val="0"/>
      <w:divBdr>
        <w:top w:val="none" w:sz="0" w:space="0" w:color="auto"/>
        <w:left w:val="none" w:sz="0" w:space="0" w:color="auto"/>
        <w:bottom w:val="none" w:sz="0" w:space="0" w:color="auto"/>
        <w:right w:val="none" w:sz="0" w:space="0" w:color="auto"/>
      </w:divBdr>
    </w:div>
    <w:div w:id="1566258414">
      <w:bodyDiv w:val="1"/>
      <w:marLeft w:val="0"/>
      <w:marRight w:val="0"/>
      <w:marTop w:val="0"/>
      <w:marBottom w:val="0"/>
      <w:divBdr>
        <w:top w:val="none" w:sz="0" w:space="0" w:color="auto"/>
        <w:left w:val="none" w:sz="0" w:space="0" w:color="auto"/>
        <w:bottom w:val="none" w:sz="0" w:space="0" w:color="auto"/>
        <w:right w:val="none" w:sz="0" w:space="0" w:color="auto"/>
      </w:divBdr>
      <w:divsChild>
        <w:div w:id="1262832412">
          <w:marLeft w:val="0"/>
          <w:marRight w:val="0"/>
          <w:marTop w:val="0"/>
          <w:marBottom w:val="0"/>
          <w:divBdr>
            <w:top w:val="none" w:sz="0" w:space="0" w:color="auto"/>
            <w:left w:val="none" w:sz="0" w:space="0" w:color="auto"/>
            <w:bottom w:val="none" w:sz="0" w:space="0" w:color="auto"/>
            <w:right w:val="none" w:sz="0" w:space="0" w:color="auto"/>
          </w:divBdr>
          <w:divsChild>
            <w:div w:id="394745524">
              <w:marLeft w:val="0"/>
              <w:marRight w:val="0"/>
              <w:marTop w:val="0"/>
              <w:marBottom w:val="0"/>
              <w:divBdr>
                <w:top w:val="none" w:sz="0" w:space="0" w:color="auto"/>
                <w:left w:val="none" w:sz="0" w:space="0" w:color="auto"/>
                <w:bottom w:val="none" w:sz="0" w:space="0" w:color="auto"/>
                <w:right w:val="none" w:sz="0" w:space="0" w:color="auto"/>
              </w:divBdr>
            </w:div>
          </w:divsChild>
        </w:div>
        <w:div w:id="545140428">
          <w:marLeft w:val="0"/>
          <w:marRight w:val="0"/>
          <w:marTop w:val="0"/>
          <w:marBottom w:val="0"/>
          <w:divBdr>
            <w:top w:val="none" w:sz="0" w:space="0" w:color="auto"/>
            <w:left w:val="none" w:sz="0" w:space="0" w:color="auto"/>
            <w:bottom w:val="none" w:sz="0" w:space="0" w:color="auto"/>
            <w:right w:val="none" w:sz="0" w:space="0" w:color="auto"/>
          </w:divBdr>
          <w:divsChild>
            <w:div w:id="61101346">
              <w:marLeft w:val="0"/>
              <w:marRight w:val="0"/>
              <w:marTop w:val="0"/>
              <w:marBottom w:val="0"/>
              <w:divBdr>
                <w:top w:val="none" w:sz="0" w:space="0" w:color="auto"/>
                <w:left w:val="none" w:sz="0" w:space="0" w:color="auto"/>
                <w:bottom w:val="none" w:sz="0" w:space="0" w:color="auto"/>
                <w:right w:val="none" w:sz="0" w:space="0" w:color="auto"/>
              </w:divBdr>
              <w:divsChild>
                <w:div w:id="2828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229330">
      <w:bodyDiv w:val="1"/>
      <w:marLeft w:val="0"/>
      <w:marRight w:val="0"/>
      <w:marTop w:val="0"/>
      <w:marBottom w:val="0"/>
      <w:divBdr>
        <w:top w:val="none" w:sz="0" w:space="0" w:color="auto"/>
        <w:left w:val="none" w:sz="0" w:space="0" w:color="auto"/>
        <w:bottom w:val="none" w:sz="0" w:space="0" w:color="auto"/>
        <w:right w:val="none" w:sz="0" w:space="0" w:color="auto"/>
      </w:divBdr>
    </w:div>
    <w:div w:id="213956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B2AC5-73B1-449E-A0CB-7C5BBF31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6055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LinksUpToDate>false</LinksUpToDate>
  <CharactersWithSpaces>7001</CharactersWithSpaces>
  <SharedDoc>false</SharedDoc>
  <HLinks>
    <vt:vector size="12" baseType="variant">
      <vt:variant>
        <vt:i4>655437</vt:i4>
      </vt:variant>
      <vt:variant>
        <vt:i4>3</vt:i4>
      </vt:variant>
      <vt:variant>
        <vt:i4>0</vt:i4>
      </vt:variant>
      <vt:variant>
        <vt:i4>5</vt:i4>
      </vt:variant>
      <vt:variant>
        <vt:lpwstr>http://www.leasingverband.de/</vt:lpwstr>
      </vt:variant>
      <vt:variant>
        <vt:lpwstr/>
      </vt:variant>
      <vt:variant>
        <vt:i4>2752513</vt:i4>
      </vt:variant>
      <vt:variant>
        <vt:i4>0</vt:i4>
      </vt:variant>
      <vt:variant>
        <vt:i4>0</vt:i4>
      </vt:variant>
      <vt:variant>
        <vt:i4>5</vt:i4>
      </vt:variant>
      <vt:variant>
        <vt:lpwstr>mailto:schur@leasingverband.de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
  <cp:lastModifiedBy/>
  <cp:revision>1</cp:revision>
  <cp:lastPrinted>2008-11-17T11:35:00Z</cp:lastPrinted>
  <dcterms:created xsi:type="dcterms:W3CDTF">2019-12-05T16:26:00Z</dcterms:created>
  <dcterms:modified xsi:type="dcterms:W3CDTF">2019-12-06T12:09:00Z</dcterms:modified>
</cp:coreProperties>
</file>