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98" w:rsidRPr="00153F72" w:rsidRDefault="002F0F98" w:rsidP="0000172F">
      <w:pPr>
        <w:spacing w:after="120"/>
        <w:ind w:right="-28"/>
        <w:rPr>
          <w:rFonts w:ascii="Arial" w:hAnsi="Arial" w:cs="Arial"/>
          <w:b/>
          <w:caps/>
          <w:sz w:val="28"/>
          <w:szCs w:val="28"/>
        </w:rPr>
      </w:pPr>
      <w:r w:rsidRPr="00153F72">
        <w:rPr>
          <w:rFonts w:ascii="Arial" w:hAnsi="Arial" w:cs="Arial"/>
          <w:b/>
          <w:caps/>
          <w:sz w:val="28"/>
          <w:szCs w:val="28"/>
        </w:rPr>
        <w:t>Press</w:t>
      </w:r>
      <w:r w:rsidR="00697F8A" w:rsidRPr="00153F72">
        <w:rPr>
          <w:rFonts w:ascii="Arial" w:hAnsi="Arial" w:cs="Arial"/>
          <w:b/>
          <w:caps/>
          <w:sz w:val="28"/>
          <w:szCs w:val="28"/>
        </w:rPr>
        <w:t xml:space="preserve"> RELEASE</w:t>
      </w:r>
    </w:p>
    <w:p w:rsidR="00394632" w:rsidRPr="001975BB" w:rsidRDefault="00BE7FE7" w:rsidP="002B06DB">
      <w:pPr>
        <w:widowControl w:val="0"/>
        <w:autoSpaceDE w:val="0"/>
        <w:autoSpaceDN w:val="0"/>
        <w:adjustRightInd w:val="0"/>
        <w:spacing w:after="120"/>
        <w:ind w:right="-596"/>
        <w:rPr>
          <w:rFonts w:ascii="ArialMT" w:hAnsi="ArialMT" w:cs="ArialMT"/>
          <w:b/>
          <w:bCs/>
          <w:sz w:val="30"/>
          <w:szCs w:val="30"/>
        </w:rPr>
      </w:pPr>
      <w:r>
        <w:rPr>
          <w:rFonts w:ascii="ArialMT" w:hAnsi="ArialMT" w:cs="ArialMT"/>
          <w:b/>
          <w:bCs/>
          <w:sz w:val="30"/>
          <w:szCs w:val="30"/>
        </w:rPr>
        <w:t xml:space="preserve">Value of </w:t>
      </w:r>
      <w:r w:rsidR="000A6BAB">
        <w:rPr>
          <w:rFonts w:ascii="ArialMT" w:hAnsi="ArialMT" w:cs="ArialMT"/>
          <w:b/>
          <w:bCs/>
          <w:sz w:val="30"/>
          <w:szCs w:val="30"/>
        </w:rPr>
        <w:t>N</w:t>
      </w:r>
      <w:r w:rsidR="001975BB" w:rsidRPr="001975BB">
        <w:rPr>
          <w:rFonts w:ascii="ArialMT" w:hAnsi="ArialMT" w:cs="ArialMT"/>
          <w:b/>
          <w:bCs/>
          <w:sz w:val="30"/>
          <w:szCs w:val="30"/>
        </w:rPr>
        <w:t xml:space="preserve">ew </w:t>
      </w:r>
      <w:r w:rsidR="00D76A46">
        <w:rPr>
          <w:rFonts w:ascii="ArialMT" w:hAnsi="ArialMT" w:cs="ArialMT"/>
          <w:b/>
          <w:bCs/>
          <w:sz w:val="30"/>
          <w:szCs w:val="30"/>
        </w:rPr>
        <w:t>L</w:t>
      </w:r>
      <w:r w:rsidR="00001D8A" w:rsidRPr="001975BB">
        <w:rPr>
          <w:rFonts w:ascii="ArialMT" w:hAnsi="ArialMT" w:cs="ArialMT"/>
          <w:b/>
          <w:bCs/>
          <w:sz w:val="30"/>
          <w:szCs w:val="30"/>
        </w:rPr>
        <w:t>easing</w:t>
      </w:r>
      <w:r w:rsidR="00445A21">
        <w:rPr>
          <w:rFonts w:ascii="ArialMT" w:hAnsi="ArialMT" w:cs="ArialMT"/>
          <w:b/>
          <w:bCs/>
          <w:sz w:val="30"/>
          <w:szCs w:val="30"/>
        </w:rPr>
        <w:t xml:space="preserve"> </w:t>
      </w:r>
      <w:r w:rsidR="00D76A46">
        <w:rPr>
          <w:rFonts w:ascii="ArialMT" w:hAnsi="ArialMT" w:cs="ArialMT"/>
          <w:b/>
          <w:bCs/>
          <w:sz w:val="30"/>
          <w:szCs w:val="30"/>
        </w:rPr>
        <w:t>B</w:t>
      </w:r>
      <w:r w:rsidR="00445A21">
        <w:rPr>
          <w:rFonts w:ascii="ArialMT" w:hAnsi="ArialMT" w:cs="ArialMT"/>
          <w:b/>
          <w:bCs/>
          <w:sz w:val="30"/>
          <w:szCs w:val="30"/>
        </w:rPr>
        <w:t xml:space="preserve">usiness </w:t>
      </w:r>
      <w:r w:rsidR="000A6BAB">
        <w:rPr>
          <w:rFonts w:ascii="ArialMT" w:hAnsi="ArialMT" w:cs="ArialMT"/>
          <w:b/>
          <w:bCs/>
          <w:sz w:val="30"/>
          <w:szCs w:val="30"/>
        </w:rPr>
        <w:t>C</w:t>
      </w:r>
      <w:r w:rsidR="00445A21">
        <w:rPr>
          <w:rFonts w:ascii="ArialMT" w:hAnsi="ArialMT" w:cs="ArialMT"/>
          <w:b/>
          <w:bCs/>
          <w:sz w:val="30"/>
          <w:szCs w:val="30"/>
        </w:rPr>
        <w:t>limb</w:t>
      </w:r>
      <w:r w:rsidR="001975BB" w:rsidRPr="001975BB">
        <w:rPr>
          <w:rFonts w:ascii="ArialMT" w:hAnsi="ArialMT" w:cs="ArialMT"/>
          <w:b/>
          <w:bCs/>
          <w:sz w:val="30"/>
          <w:szCs w:val="30"/>
        </w:rPr>
        <w:t xml:space="preserve">s to 70 </w:t>
      </w:r>
      <w:r w:rsidR="00D76A46">
        <w:rPr>
          <w:rFonts w:ascii="ArialMT" w:hAnsi="ArialMT" w:cs="ArialMT"/>
          <w:b/>
          <w:bCs/>
          <w:sz w:val="30"/>
          <w:szCs w:val="30"/>
        </w:rPr>
        <w:t>B</w:t>
      </w:r>
      <w:r w:rsidR="001975BB" w:rsidRPr="001975BB">
        <w:rPr>
          <w:rFonts w:ascii="ArialMT" w:hAnsi="ArialMT" w:cs="ArialMT"/>
          <w:b/>
          <w:bCs/>
          <w:sz w:val="30"/>
          <w:szCs w:val="30"/>
        </w:rPr>
        <w:t xml:space="preserve">illion </w:t>
      </w:r>
      <w:r w:rsidR="00D76A46">
        <w:rPr>
          <w:rFonts w:ascii="ArialMT" w:hAnsi="ArialMT" w:cs="ArialMT"/>
          <w:b/>
          <w:bCs/>
          <w:sz w:val="30"/>
          <w:szCs w:val="30"/>
        </w:rPr>
        <w:t>E</w:t>
      </w:r>
      <w:r w:rsidR="001975BB" w:rsidRPr="001975BB">
        <w:rPr>
          <w:rFonts w:ascii="ArialMT" w:hAnsi="ArialMT" w:cs="ArialMT"/>
          <w:b/>
          <w:bCs/>
          <w:sz w:val="30"/>
          <w:szCs w:val="30"/>
        </w:rPr>
        <w:t>uro</w:t>
      </w:r>
      <w:r w:rsidR="00A5277C" w:rsidRPr="001975BB">
        <w:rPr>
          <w:rFonts w:ascii="ArialMT" w:hAnsi="ArialMT" w:cs="ArialMT"/>
          <w:b/>
          <w:bCs/>
          <w:sz w:val="30"/>
          <w:szCs w:val="30"/>
        </w:rPr>
        <w:t xml:space="preserve"> </w:t>
      </w:r>
    </w:p>
    <w:p w:rsidR="00394632" w:rsidRPr="00AC7236" w:rsidRDefault="001975BB" w:rsidP="009442FC">
      <w:pPr>
        <w:widowControl w:val="0"/>
        <w:autoSpaceDE w:val="0"/>
        <w:autoSpaceDN w:val="0"/>
        <w:adjustRightInd w:val="0"/>
        <w:spacing w:after="120"/>
        <w:ind w:right="-170"/>
        <w:rPr>
          <w:rFonts w:ascii="ArialMT" w:hAnsi="ArialMT" w:cs="ArialMT"/>
          <w:b/>
          <w:bCs/>
          <w:szCs w:val="24"/>
        </w:rPr>
      </w:pPr>
      <w:r w:rsidRPr="00AC7236">
        <w:rPr>
          <w:rFonts w:ascii="ArialMT" w:hAnsi="ArialMT" w:cs="ArialMT"/>
          <w:b/>
          <w:bCs/>
          <w:szCs w:val="24"/>
        </w:rPr>
        <w:t>B</w:t>
      </w:r>
      <w:r w:rsidR="00AC7236" w:rsidRPr="00AC7236">
        <w:rPr>
          <w:rFonts w:ascii="ArialMT" w:hAnsi="ArialMT" w:cs="ArialMT"/>
          <w:b/>
          <w:bCs/>
          <w:szCs w:val="24"/>
        </w:rPr>
        <w:t xml:space="preserve">oom in </w:t>
      </w:r>
      <w:r w:rsidR="00D76A46">
        <w:rPr>
          <w:rFonts w:ascii="ArialMT" w:hAnsi="ArialMT" w:cs="ArialMT"/>
          <w:b/>
          <w:bCs/>
          <w:szCs w:val="24"/>
        </w:rPr>
        <w:t>M</w:t>
      </w:r>
      <w:r w:rsidR="00AC7236" w:rsidRPr="00AC7236">
        <w:rPr>
          <w:rFonts w:ascii="ArialMT" w:hAnsi="ArialMT" w:cs="ArialMT"/>
          <w:b/>
          <w:bCs/>
          <w:szCs w:val="24"/>
        </w:rPr>
        <w:t>a</w:t>
      </w:r>
      <w:r w:rsidR="00DD1D4B" w:rsidRPr="00AC7236">
        <w:rPr>
          <w:rFonts w:ascii="ArialMT" w:hAnsi="ArialMT" w:cs="ArialMT"/>
          <w:b/>
          <w:bCs/>
          <w:szCs w:val="24"/>
        </w:rPr>
        <w:t>chine</w:t>
      </w:r>
      <w:r w:rsidRPr="00AC7236">
        <w:rPr>
          <w:rFonts w:ascii="ArialMT" w:hAnsi="ArialMT" w:cs="ArialMT"/>
          <w:b/>
          <w:bCs/>
          <w:szCs w:val="24"/>
        </w:rPr>
        <w:t xml:space="preserve"> </w:t>
      </w:r>
      <w:r w:rsidR="00D76A46">
        <w:rPr>
          <w:rFonts w:ascii="ArialMT" w:hAnsi="ArialMT" w:cs="ArialMT"/>
          <w:b/>
          <w:bCs/>
          <w:szCs w:val="24"/>
        </w:rPr>
        <w:t>L</w:t>
      </w:r>
      <w:r w:rsidRPr="00AC7236">
        <w:rPr>
          <w:rFonts w:ascii="ArialMT" w:hAnsi="ArialMT" w:cs="ArialMT"/>
          <w:b/>
          <w:bCs/>
          <w:szCs w:val="24"/>
        </w:rPr>
        <w:t>easing</w:t>
      </w:r>
      <w:r w:rsidR="00DD1D4B" w:rsidRPr="00AC7236">
        <w:rPr>
          <w:rFonts w:ascii="ArialMT" w:hAnsi="ArialMT" w:cs="ArialMT"/>
          <w:b/>
          <w:bCs/>
          <w:szCs w:val="24"/>
        </w:rPr>
        <w:t xml:space="preserve"> | </w:t>
      </w:r>
      <w:r w:rsidR="0031229A" w:rsidRPr="00AC7236">
        <w:rPr>
          <w:rFonts w:ascii="ArialMT" w:hAnsi="ArialMT" w:cs="ArialMT"/>
          <w:b/>
          <w:bCs/>
          <w:szCs w:val="24"/>
        </w:rPr>
        <w:t>WLTP</w:t>
      </w:r>
      <w:r w:rsidR="009A6545">
        <w:rPr>
          <w:rFonts w:ascii="ArialMT" w:hAnsi="ArialMT" w:cs="ArialMT"/>
          <w:b/>
          <w:bCs/>
          <w:szCs w:val="24"/>
        </w:rPr>
        <w:t>-</w:t>
      </w:r>
      <w:r w:rsidR="00AC7236" w:rsidRPr="00AC7236">
        <w:rPr>
          <w:rFonts w:ascii="ArialMT" w:hAnsi="ArialMT" w:cs="ArialMT"/>
          <w:b/>
          <w:bCs/>
          <w:szCs w:val="24"/>
        </w:rPr>
        <w:t xml:space="preserve">harmonized </w:t>
      </w:r>
      <w:r w:rsidR="000A6BAB">
        <w:rPr>
          <w:rFonts w:ascii="ArialMT" w:hAnsi="ArialMT" w:cs="ArialMT"/>
          <w:b/>
          <w:bCs/>
          <w:szCs w:val="24"/>
        </w:rPr>
        <w:t>V</w:t>
      </w:r>
      <w:r w:rsidR="00AC7236" w:rsidRPr="00AC7236">
        <w:rPr>
          <w:rFonts w:ascii="ArialMT" w:hAnsi="ArialMT" w:cs="ArialMT"/>
          <w:b/>
          <w:bCs/>
          <w:szCs w:val="24"/>
        </w:rPr>
        <w:t xml:space="preserve">ehicle </w:t>
      </w:r>
      <w:r w:rsidR="000A6BAB">
        <w:rPr>
          <w:rFonts w:ascii="ArialMT" w:hAnsi="ArialMT" w:cs="ArialMT"/>
          <w:b/>
          <w:bCs/>
          <w:szCs w:val="24"/>
        </w:rPr>
        <w:t>T</w:t>
      </w:r>
      <w:r w:rsidR="00AC7236" w:rsidRPr="00AC7236">
        <w:rPr>
          <w:rFonts w:ascii="ArialMT" w:hAnsi="ArialMT" w:cs="ArialMT"/>
          <w:b/>
          <w:bCs/>
          <w:szCs w:val="24"/>
        </w:rPr>
        <w:t xml:space="preserve">esting </w:t>
      </w:r>
      <w:r w:rsidR="000A6BAB">
        <w:rPr>
          <w:rFonts w:ascii="ArialMT" w:hAnsi="ArialMT" w:cs="ArialMT"/>
          <w:b/>
          <w:bCs/>
          <w:szCs w:val="24"/>
        </w:rPr>
        <w:t>P</w:t>
      </w:r>
      <w:r w:rsidR="00AC7236" w:rsidRPr="00AC7236">
        <w:rPr>
          <w:rFonts w:ascii="ArialMT" w:hAnsi="ArialMT" w:cs="ArialMT"/>
          <w:b/>
          <w:bCs/>
          <w:szCs w:val="24"/>
        </w:rPr>
        <w:t xml:space="preserve">uts a </w:t>
      </w:r>
      <w:r w:rsidR="000A6BAB">
        <w:rPr>
          <w:rFonts w:ascii="ArialMT" w:hAnsi="ArialMT" w:cs="ArialMT"/>
          <w:b/>
          <w:bCs/>
          <w:szCs w:val="24"/>
        </w:rPr>
        <w:t>B</w:t>
      </w:r>
      <w:r w:rsidR="00AC7236" w:rsidRPr="00AC7236">
        <w:rPr>
          <w:rFonts w:ascii="ArialMT" w:hAnsi="ArialMT" w:cs="ArialMT"/>
          <w:b/>
          <w:bCs/>
          <w:szCs w:val="24"/>
        </w:rPr>
        <w:t xml:space="preserve">rake on </w:t>
      </w:r>
      <w:r w:rsidR="00D76A46">
        <w:rPr>
          <w:rFonts w:ascii="ArialMT" w:hAnsi="ArialMT" w:cs="ArialMT"/>
          <w:b/>
          <w:bCs/>
          <w:szCs w:val="24"/>
        </w:rPr>
        <w:t>V</w:t>
      </w:r>
      <w:r w:rsidR="00AC7236">
        <w:rPr>
          <w:rFonts w:ascii="ArialMT" w:hAnsi="ArialMT" w:cs="ArialMT"/>
          <w:b/>
          <w:bCs/>
          <w:szCs w:val="24"/>
        </w:rPr>
        <w:t xml:space="preserve">ehicle </w:t>
      </w:r>
      <w:r w:rsidR="00D76A46">
        <w:rPr>
          <w:rFonts w:ascii="ArialMT" w:hAnsi="ArialMT" w:cs="ArialMT"/>
          <w:b/>
          <w:bCs/>
          <w:szCs w:val="24"/>
        </w:rPr>
        <w:t>L</w:t>
      </w:r>
      <w:r w:rsidR="00AC7236">
        <w:rPr>
          <w:rFonts w:ascii="ArialMT" w:hAnsi="ArialMT" w:cs="ArialMT"/>
          <w:b/>
          <w:bCs/>
          <w:szCs w:val="24"/>
        </w:rPr>
        <w:t xml:space="preserve">easing | </w:t>
      </w:r>
      <w:r w:rsidR="00D76A46">
        <w:rPr>
          <w:rFonts w:ascii="ArialMT" w:hAnsi="ArialMT" w:cs="ArialMT"/>
          <w:b/>
          <w:bCs/>
          <w:szCs w:val="24"/>
        </w:rPr>
        <w:t>D</w:t>
      </w:r>
      <w:r w:rsidR="00AC7236">
        <w:rPr>
          <w:rFonts w:ascii="ArialMT" w:hAnsi="ArialMT" w:cs="ArialMT"/>
          <w:b/>
          <w:bCs/>
          <w:szCs w:val="24"/>
        </w:rPr>
        <w:t xml:space="preserve">igitalization </w:t>
      </w:r>
      <w:r w:rsidR="000A6BAB">
        <w:rPr>
          <w:rFonts w:ascii="ArialMT" w:hAnsi="ArialMT" w:cs="ArialMT"/>
          <w:b/>
          <w:bCs/>
          <w:szCs w:val="24"/>
        </w:rPr>
        <w:t>C</w:t>
      </w:r>
      <w:r w:rsidR="00AC7236">
        <w:rPr>
          <w:rFonts w:ascii="ArialMT" w:hAnsi="ArialMT" w:cs="ArialMT"/>
          <w:b/>
          <w:bCs/>
          <w:szCs w:val="24"/>
        </w:rPr>
        <w:t xml:space="preserve">reates </w:t>
      </w:r>
      <w:r w:rsidR="000A6BAB">
        <w:rPr>
          <w:rFonts w:ascii="ArialMT" w:hAnsi="ArialMT" w:cs="ArialMT"/>
          <w:b/>
          <w:bCs/>
          <w:szCs w:val="24"/>
        </w:rPr>
        <w:t>G</w:t>
      </w:r>
      <w:r w:rsidR="00AC7236">
        <w:rPr>
          <w:rFonts w:ascii="ArialMT" w:hAnsi="ArialMT" w:cs="ArialMT"/>
          <w:b/>
          <w:bCs/>
          <w:szCs w:val="24"/>
        </w:rPr>
        <w:t xml:space="preserve">rowth </w:t>
      </w:r>
      <w:r w:rsidR="000A6BAB">
        <w:rPr>
          <w:rFonts w:ascii="ArialMT" w:hAnsi="ArialMT" w:cs="ArialMT"/>
          <w:b/>
          <w:bCs/>
          <w:szCs w:val="24"/>
        </w:rPr>
        <w:t>O</w:t>
      </w:r>
      <w:r w:rsidR="00AC7236">
        <w:rPr>
          <w:rFonts w:ascii="ArialMT" w:hAnsi="ArialMT" w:cs="ArialMT"/>
          <w:b/>
          <w:bCs/>
          <w:szCs w:val="24"/>
        </w:rPr>
        <w:t>pportunities</w:t>
      </w:r>
    </w:p>
    <w:p w:rsidR="000F0373" w:rsidRPr="007D699B" w:rsidRDefault="001F2B52" w:rsidP="000F0373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AC7236">
        <w:rPr>
          <w:rFonts w:ascii="Arial" w:hAnsi="Arial" w:cs="Arial"/>
          <w:b/>
          <w:bCs/>
          <w:sz w:val="22"/>
          <w:szCs w:val="22"/>
        </w:rPr>
        <w:t xml:space="preserve">Frankfurt, </w:t>
      </w:r>
      <w:r w:rsidR="00026DB9" w:rsidRPr="00AC7236">
        <w:rPr>
          <w:rFonts w:ascii="Arial" w:hAnsi="Arial" w:cs="Arial"/>
          <w:b/>
          <w:bCs/>
          <w:sz w:val="22"/>
          <w:szCs w:val="22"/>
        </w:rPr>
        <w:t>2</w:t>
      </w:r>
      <w:r w:rsidR="00A73CE2" w:rsidRPr="00AC7236">
        <w:rPr>
          <w:rFonts w:ascii="Arial" w:hAnsi="Arial" w:cs="Arial"/>
          <w:b/>
          <w:bCs/>
          <w:sz w:val="22"/>
          <w:szCs w:val="22"/>
        </w:rPr>
        <w:t>1</w:t>
      </w:r>
      <w:r w:rsidR="00AC7236" w:rsidRPr="00AC7236">
        <w:rPr>
          <w:rFonts w:ascii="Arial" w:hAnsi="Arial" w:cs="Arial"/>
          <w:b/>
          <w:bCs/>
          <w:sz w:val="22"/>
          <w:szCs w:val="22"/>
        </w:rPr>
        <w:t xml:space="preserve">st </w:t>
      </w:r>
      <w:r w:rsidRPr="00AC7236">
        <w:rPr>
          <w:rFonts w:ascii="Arial" w:hAnsi="Arial" w:cs="Arial"/>
          <w:b/>
          <w:bCs/>
          <w:sz w:val="22"/>
          <w:szCs w:val="22"/>
        </w:rPr>
        <w:t>November 201</w:t>
      </w:r>
      <w:r w:rsidR="00A73CE2" w:rsidRPr="00AC7236">
        <w:rPr>
          <w:rFonts w:ascii="Arial" w:hAnsi="Arial" w:cs="Arial"/>
          <w:b/>
          <w:bCs/>
          <w:sz w:val="22"/>
          <w:szCs w:val="22"/>
        </w:rPr>
        <w:t>8</w:t>
      </w:r>
      <w:r w:rsidRPr="00AC7236">
        <w:rPr>
          <w:rFonts w:ascii="Arial" w:hAnsi="Arial" w:cs="Arial"/>
          <w:b/>
          <w:bCs/>
          <w:sz w:val="22"/>
          <w:szCs w:val="22"/>
        </w:rPr>
        <w:t xml:space="preserve"> –</w:t>
      </w:r>
      <w:r w:rsidR="001D1408" w:rsidRPr="00AC7236">
        <w:rPr>
          <w:rFonts w:ascii="Arial" w:hAnsi="Arial" w:cs="Arial"/>
          <w:b/>
          <w:bCs/>
          <w:sz w:val="22"/>
          <w:szCs w:val="22"/>
        </w:rPr>
        <w:t xml:space="preserve"> </w:t>
      </w:r>
      <w:r w:rsidR="00951C3F">
        <w:rPr>
          <w:rFonts w:ascii="Arial" w:hAnsi="Arial" w:cs="Arial"/>
          <w:b/>
          <w:bCs/>
          <w:sz w:val="22"/>
          <w:szCs w:val="22"/>
        </w:rPr>
        <w:t>Afte</w:t>
      </w:r>
      <w:r w:rsidR="00592D48">
        <w:rPr>
          <w:rFonts w:ascii="Arial" w:hAnsi="Arial" w:cs="Arial"/>
          <w:b/>
          <w:bCs/>
          <w:sz w:val="22"/>
          <w:szCs w:val="22"/>
        </w:rPr>
        <w:t>r two record years</w:t>
      </w:r>
      <w:r w:rsidR="00AC7236" w:rsidRPr="00AC7236">
        <w:rPr>
          <w:rFonts w:ascii="Arial" w:hAnsi="Arial" w:cs="Arial"/>
          <w:b/>
          <w:bCs/>
          <w:sz w:val="22"/>
          <w:szCs w:val="22"/>
        </w:rPr>
        <w:t>, the leasing sector</w:t>
      </w:r>
      <w:r w:rsidR="00951C3F">
        <w:rPr>
          <w:rFonts w:ascii="Arial" w:hAnsi="Arial" w:cs="Arial"/>
          <w:b/>
          <w:bCs/>
          <w:sz w:val="22"/>
          <w:szCs w:val="22"/>
        </w:rPr>
        <w:t xml:space="preserve"> has seen </w:t>
      </w:r>
      <w:r w:rsidR="00592D48">
        <w:rPr>
          <w:rFonts w:ascii="Arial" w:hAnsi="Arial" w:cs="Arial"/>
          <w:b/>
          <w:bCs/>
          <w:sz w:val="22"/>
          <w:szCs w:val="22"/>
        </w:rPr>
        <w:t>renewed growth</w:t>
      </w:r>
      <w:r w:rsidR="007D699B">
        <w:rPr>
          <w:rFonts w:ascii="Arial" w:hAnsi="Arial" w:cs="Arial"/>
          <w:b/>
          <w:bCs/>
          <w:sz w:val="22"/>
          <w:szCs w:val="22"/>
        </w:rPr>
        <w:t xml:space="preserve"> </w:t>
      </w:r>
      <w:r w:rsidR="00AC7236">
        <w:rPr>
          <w:rFonts w:ascii="Arial" w:hAnsi="Arial" w:cs="Arial"/>
          <w:b/>
          <w:bCs/>
          <w:sz w:val="22"/>
          <w:szCs w:val="22"/>
        </w:rPr>
        <w:t>in the current year</w:t>
      </w:r>
      <w:r w:rsidR="00592D48">
        <w:rPr>
          <w:rFonts w:ascii="Arial" w:hAnsi="Arial" w:cs="Arial"/>
          <w:b/>
          <w:bCs/>
          <w:sz w:val="22"/>
          <w:szCs w:val="22"/>
        </w:rPr>
        <w:t>,</w:t>
      </w:r>
      <w:r w:rsidR="00AC7236">
        <w:rPr>
          <w:rFonts w:ascii="Arial" w:hAnsi="Arial" w:cs="Arial"/>
          <w:b/>
          <w:bCs/>
          <w:sz w:val="22"/>
          <w:szCs w:val="22"/>
        </w:rPr>
        <w:t xml:space="preserve"> </w:t>
      </w:r>
      <w:r w:rsidR="00592D48">
        <w:rPr>
          <w:rFonts w:ascii="Arial" w:hAnsi="Arial" w:cs="Arial"/>
          <w:b/>
          <w:bCs/>
          <w:sz w:val="22"/>
          <w:szCs w:val="22"/>
        </w:rPr>
        <w:t>and new business is up</w:t>
      </w:r>
      <w:r w:rsidR="007D699B">
        <w:rPr>
          <w:rFonts w:ascii="Arial" w:hAnsi="Arial" w:cs="Arial"/>
          <w:b/>
          <w:bCs/>
          <w:sz w:val="22"/>
          <w:szCs w:val="22"/>
        </w:rPr>
        <w:t xml:space="preserve"> by</w:t>
      </w:r>
      <w:r w:rsidR="00AC7236">
        <w:rPr>
          <w:rFonts w:ascii="Arial" w:hAnsi="Arial" w:cs="Arial"/>
          <w:b/>
          <w:bCs/>
          <w:sz w:val="22"/>
          <w:szCs w:val="22"/>
        </w:rPr>
        <w:t xml:space="preserve"> 4.5 pe</w:t>
      </w:r>
      <w:r w:rsidR="00AC7236">
        <w:rPr>
          <w:rFonts w:ascii="Arial" w:hAnsi="Arial" w:cs="Arial"/>
          <w:b/>
          <w:bCs/>
          <w:sz w:val="22"/>
          <w:szCs w:val="22"/>
        </w:rPr>
        <w:t>r</w:t>
      </w:r>
      <w:r w:rsidR="00AC7236">
        <w:rPr>
          <w:rFonts w:ascii="Arial" w:hAnsi="Arial" w:cs="Arial"/>
          <w:b/>
          <w:bCs/>
          <w:sz w:val="22"/>
          <w:szCs w:val="22"/>
        </w:rPr>
        <w:t xml:space="preserve">cent. </w:t>
      </w:r>
      <w:r w:rsidR="00AC7236" w:rsidRPr="00AC7236">
        <w:rPr>
          <w:rFonts w:ascii="Arial" w:hAnsi="Arial" w:cs="Arial"/>
          <w:b/>
          <w:bCs/>
          <w:sz w:val="22"/>
          <w:szCs w:val="22"/>
        </w:rPr>
        <w:t>German</w:t>
      </w:r>
      <w:r w:rsidR="00951C3F">
        <w:rPr>
          <w:rFonts w:ascii="Arial" w:hAnsi="Arial" w:cs="Arial"/>
          <w:b/>
          <w:bCs/>
          <w:sz w:val="22"/>
          <w:szCs w:val="22"/>
        </w:rPr>
        <w:t xml:space="preserve"> leasing compa</w:t>
      </w:r>
      <w:r w:rsidR="00592D48">
        <w:rPr>
          <w:rFonts w:ascii="Arial" w:hAnsi="Arial" w:cs="Arial"/>
          <w:b/>
          <w:bCs/>
          <w:sz w:val="22"/>
          <w:szCs w:val="22"/>
        </w:rPr>
        <w:t xml:space="preserve">nies have financed </w:t>
      </w:r>
      <w:r w:rsidR="00951C3F">
        <w:rPr>
          <w:rFonts w:ascii="Arial" w:hAnsi="Arial" w:cs="Arial"/>
          <w:b/>
          <w:bCs/>
          <w:sz w:val="22"/>
          <w:szCs w:val="22"/>
        </w:rPr>
        <w:t>customer</w:t>
      </w:r>
      <w:r w:rsidR="00592D48">
        <w:rPr>
          <w:rFonts w:ascii="Arial" w:hAnsi="Arial" w:cs="Arial"/>
          <w:b/>
          <w:bCs/>
          <w:sz w:val="22"/>
          <w:szCs w:val="22"/>
        </w:rPr>
        <w:t xml:space="preserve">s’ </w:t>
      </w:r>
      <w:r w:rsidR="00951C3F">
        <w:rPr>
          <w:rFonts w:ascii="Arial" w:hAnsi="Arial" w:cs="Arial"/>
          <w:b/>
          <w:bCs/>
          <w:sz w:val="22"/>
          <w:szCs w:val="22"/>
        </w:rPr>
        <w:t>investments in</w:t>
      </w:r>
      <w:r w:rsidR="00AC7236" w:rsidRPr="00AC7236">
        <w:rPr>
          <w:rFonts w:ascii="Arial" w:hAnsi="Arial" w:cs="Arial"/>
          <w:b/>
          <w:bCs/>
          <w:sz w:val="22"/>
          <w:szCs w:val="22"/>
        </w:rPr>
        <w:t xml:space="preserve"> </w:t>
      </w:r>
      <w:r w:rsidR="00951C3F">
        <w:rPr>
          <w:rFonts w:ascii="Arial" w:hAnsi="Arial" w:cs="Arial"/>
          <w:b/>
          <w:bCs/>
          <w:sz w:val="22"/>
          <w:szCs w:val="22"/>
        </w:rPr>
        <w:t xml:space="preserve">real estate, vehicles, IT equipment and other assets to the tune of </w:t>
      </w:r>
      <w:r w:rsidR="00AC7236" w:rsidRPr="00AC7236">
        <w:rPr>
          <w:rFonts w:ascii="Arial" w:hAnsi="Arial" w:cs="Arial"/>
          <w:b/>
          <w:bCs/>
          <w:sz w:val="22"/>
          <w:szCs w:val="22"/>
        </w:rPr>
        <w:t>69.7 billion</w:t>
      </w:r>
      <w:r w:rsidR="00637E45">
        <w:rPr>
          <w:rFonts w:ascii="Arial" w:hAnsi="Arial" w:cs="Arial"/>
          <w:b/>
          <w:bCs/>
          <w:sz w:val="22"/>
          <w:szCs w:val="22"/>
        </w:rPr>
        <w:t xml:space="preserve"> euro</w:t>
      </w:r>
      <w:r w:rsidR="00951C3F">
        <w:rPr>
          <w:rFonts w:ascii="Arial" w:hAnsi="Arial" w:cs="Arial"/>
          <w:b/>
          <w:bCs/>
          <w:sz w:val="22"/>
          <w:szCs w:val="22"/>
        </w:rPr>
        <w:t xml:space="preserve">. The volume of </w:t>
      </w:r>
      <w:r w:rsidR="007D699B">
        <w:rPr>
          <w:rFonts w:ascii="Arial" w:hAnsi="Arial" w:cs="Arial"/>
          <w:b/>
          <w:bCs/>
          <w:sz w:val="22"/>
          <w:szCs w:val="22"/>
        </w:rPr>
        <w:t>hire-purcha</w:t>
      </w:r>
      <w:r w:rsidR="00951C3F">
        <w:rPr>
          <w:rFonts w:ascii="Arial" w:hAnsi="Arial" w:cs="Arial"/>
          <w:b/>
          <w:bCs/>
          <w:sz w:val="22"/>
          <w:szCs w:val="22"/>
        </w:rPr>
        <w:t>se business has in</w:t>
      </w:r>
      <w:r w:rsidR="00592D48">
        <w:rPr>
          <w:rFonts w:ascii="Arial" w:hAnsi="Arial" w:cs="Arial"/>
          <w:b/>
          <w:bCs/>
          <w:sz w:val="22"/>
          <w:szCs w:val="22"/>
        </w:rPr>
        <w:t xml:space="preserve">creased even more </w:t>
      </w:r>
      <w:r w:rsidR="00951C3F">
        <w:rPr>
          <w:rFonts w:ascii="Arial" w:hAnsi="Arial" w:cs="Arial"/>
          <w:b/>
          <w:bCs/>
          <w:sz w:val="22"/>
          <w:szCs w:val="22"/>
        </w:rPr>
        <w:t>marke</w:t>
      </w:r>
      <w:r w:rsidR="00951C3F">
        <w:rPr>
          <w:rFonts w:ascii="Arial" w:hAnsi="Arial" w:cs="Arial"/>
          <w:b/>
          <w:bCs/>
          <w:sz w:val="22"/>
          <w:szCs w:val="22"/>
        </w:rPr>
        <w:t>d</w:t>
      </w:r>
      <w:r w:rsidR="00951C3F">
        <w:rPr>
          <w:rFonts w:ascii="Arial" w:hAnsi="Arial" w:cs="Arial"/>
          <w:b/>
          <w:bCs/>
          <w:sz w:val="22"/>
          <w:szCs w:val="22"/>
        </w:rPr>
        <w:t>ly (by 11 percent)</w:t>
      </w:r>
      <w:r w:rsidR="00592D48">
        <w:rPr>
          <w:rFonts w:ascii="Arial" w:hAnsi="Arial" w:cs="Arial"/>
          <w:b/>
          <w:bCs/>
          <w:sz w:val="22"/>
          <w:szCs w:val="22"/>
        </w:rPr>
        <w:t>,</w:t>
      </w:r>
      <w:r w:rsidR="00951C3F">
        <w:rPr>
          <w:rFonts w:ascii="Arial" w:hAnsi="Arial" w:cs="Arial"/>
          <w:b/>
          <w:bCs/>
          <w:sz w:val="22"/>
          <w:szCs w:val="22"/>
        </w:rPr>
        <w:t xml:space="preserve"> and currently stands at 9.</w:t>
      </w:r>
      <w:r w:rsidR="007D699B">
        <w:rPr>
          <w:rFonts w:ascii="Arial" w:hAnsi="Arial" w:cs="Arial"/>
          <w:b/>
          <w:bCs/>
          <w:sz w:val="22"/>
          <w:szCs w:val="22"/>
        </w:rPr>
        <w:t>1 billion</w:t>
      </w:r>
      <w:r w:rsidR="00592D48">
        <w:rPr>
          <w:rFonts w:ascii="Arial" w:hAnsi="Arial" w:cs="Arial"/>
          <w:b/>
          <w:bCs/>
          <w:sz w:val="22"/>
          <w:szCs w:val="22"/>
        </w:rPr>
        <w:t xml:space="preserve"> euro.</w:t>
      </w:r>
      <w:r w:rsidR="00CD678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D7AD6" w:rsidRPr="00746DAA" w:rsidRDefault="007D699B" w:rsidP="000F0373">
      <w:pPr>
        <w:spacing w:after="120"/>
        <w:rPr>
          <w:rFonts w:ascii="Arial" w:hAnsi="Arial" w:cs="Arial"/>
          <w:bCs/>
          <w:sz w:val="22"/>
          <w:szCs w:val="22"/>
        </w:rPr>
      </w:pPr>
      <w:r w:rsidRPr="007D699B">
        <w:rPr>
          <w:rFonts w:ascii="Arial" w:hAnsi="Arial" w:cs="Arial"/>
          <w:bCs/>
          <w:sz w:val="22"/>
          <w:szCs w:val="22"/>
        </w:rPr>
        <w:t xml:space="preserve">Growth in new business in the machinery segment was particularly </w:t>
      </w:r>
      <w:r>
        <w:rPr>
          <w:rFonts w:ascii="Arial" w:hAnsi="Arial" w:cs="Arial"/>
          <w:bCs/>
          <w:sz w:val="22"/>
          <w:szCs w:val="22"/>
        </w:rPr>
        <w:t xml:space="preserve">strong; compared with the previous year it was up by 9 percent. </w:t>
      </w:r>
      <w:r w:rsidRPr="007D699B">
        <w:rPr>
          <w:rFonts w:ascii="Arial" w:hAnsi="Arial" w:cs="Arial"/>
          <w:bCs/>
          <w:sz w:val="22"/>
          <w:szCs w:val="22"/>
        </w:rPr>
        <w:t>IT leasing recovered after a number of</w:t>
      </w:r>
      <w:r>
        <w:rPr>
          <w:rFonts w:ascii="Arial" w:hAnsi="Arial" w:cs="Arial"/>
          <w:bCs/>
          <w:sz w:val="22"/>
          <w:szCs w:val="22"/>
        </w:rPr>
        <w:t xml:space="preserve"> difficult years</w:t>
      </w:r>
      <w:r w:rsidR="00592D48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and </w:t>
      </w:r>
      <w:r w:rsidR="00610BFA">
        <w:rPr>
          <w:rFonts w:ascii="Arial" w:hAnsi="Arial" w:cs="Arial"/>
          <w:bCs/>
          <w:sz w:val="22"/>
          <w:szCs w:val="22"/>
        </w:rPr>
        <w:t xml:space="preserve">actually grew in 2018 (by 2 percent). </w:t>
      </w:r>
      <w:r w:rsidR="00690BFE">
        <w:rPr>
          <w:rFonts w:ascii="Arial" w:hAnsi="Arial" w:cs="Arial"/>
          <w:bCs/>
          <w:sz w:val="22"/>
          <w:szCs w:val="22"/>
        </w:rPr>
        <w:t>Overall, there was above-average growth (+7 percent) in t</w:t>
      </w:r>
      <w:r w:rsidR="00FE73E1" w:rsidRPr="00FE73E1">
        <w:rPr>
          <w:rFonts w:ascii="Arial" w:hAnsi="Arial" w:cs="Arial"/>
          <w:bCs/>
          <w:sz w:val="22"/>
          <w:szCs w:val="22"/>
        </w:rPr>
        <w:t xml:space="preserve">he other </w:t>
      </w:r>
      <w:r w:rsidR="00690BFE">
        <w:rPr>
          <w:rFonts w:ascii="Arial" w:hAnsi="Arial" w:cs="Arial"/>
          <w:bCs/>
          <w:sz w:val="22"/>
          <w:szCs w:val="22"/>
        </w:rPr>
        <w:t xml:space="preserve">leasing market </w:t>
      </w:r>
      <w:r w:rsidR="00FE73E1" w:rsidRPr="00FE73E1">
        <w:rPr>
          <w:rFonts w:ascii="Arial" w:hAnsi="Arial" w:cs="Arial"/>
          <w:bCs/>
          <w:sz w:val="22"/>
          <w:szCs w:val="22"/>
        </w:rPr>
        <w:t>segments</w:t>
      </w:r>
      <w:r w:rsidR="00690BFE">
        <w:rPr>
          <w:rFonts w:ascii="Arial" w:hAnsi="Arial" w:cs="Arial"/>
          <w:bCs/>
          <w:sz w:val="22"/>
          <w:szCs w:val="22"/>
        </w:rPr>
        <w:t xml:space="preserve">, with </w:t>
      </w:r>
      <w:r w:rsidR="000A6BAB">
        <w:rPr>
          <w:rFonts w:ascii="Arial" w:hAnsi="Arial" w:cs="Arial"/>
          <w:bCs/>
          <w:sz w:val="22"/>
          <w:szCs w:val="22"/>
        </w:rPr>
        <w:t>i</w:t>
      </w:r>
      <w:r w:rsidR="00FE73E1" w:rsidRPr="00FE73E1">
        <w:rPr>
          <w:rFonts w:ascii="Arial" w:hAnsi="Arial" w:cs="Arial"/>
          <w:bCs/>
          <w:sz w:val="22"/>
          <w:szCs w:val="22"/>
        </w:rPr>
        <w:t xml:space="preserve">nformation </w:t>
      </w:r>
      <w:r w:rsidR="000A6BAB">
        <w:rPr>
          <w:rFonts w:ascii="Arial" w:hAnsi="Arial" w:cs="Arial"/>
          <w:bCs/>
          <w:sz w:val="22"/>
          <w:szCs w:val="22"/>
        </w:rPr>
        <w:t>and</w:t>
      </w:r>
      <w:r w:rsidR="00FE73E1" w:rsidRPr="00FE73E1">
        <w:rPr>
          <w:rFonts w:ascii="Arial" w:hAnsi="Arial" w:cs="Arial"/>
          <w:bCs/>
          <w:sz w:val="22"/>
          <w:szCs w:val="22"/>
        </w:rPr>
        <w:t xml:space="preserve"> </w:t>
      </w:r>
      <w:r w:rsidR="000A6BAB">
        <w:rPr>
          <w:rFonts w:ascii="Arial" w:hAnsi="Arial" w:cs="Arial"/>
          <w:bCs/>
          <w:sz w:val="22"/>
          <w:szCs w:val="22"/>
        </w:rPr>
        <w:t>s</w:t>
      </w:r>
      <w:r w:rsidR="00FE73E1" w:rsidRPr="00FE73E1">
        <w:rPr>
          <w:rFonts w:ascii="Arial" w:hAnsi="Arial" w:cs="Arial"/>
          <w:bCs/>
          <w:sz w:val="22"/>
          <w:szCs w:val="22"/>
        </w:rPr>
        <w:t xml:space="preserve">ignalling </w:t>
      </w:r>
      <w:r w:rsidR="000A6BAB">
        <w:rPr>
          <w:rFonts w:ascii="Arial" w:hAnsi="Arial" w:cs="Arial"/>
          <w:bCs/>
          <w:sz w:val="22"/>
          <w:szCs w:val="22"/>
        </w:rPr>
        <w:t>s</w:t>
      </w:r>
      <w:r w:rsidR="00FE73E1" w:rsidRPr="00FE73E1">
        <w:rPr>
          <w:rFonts w:ascii="Arial" w:hAnsi="Arial" w:cs="Arial"/>
          <w:bCs/>
          <w:sz w:val="22"/>
          <w:szCs w:val="22"/>
        </w:rPr>
        <w:t xml:space="preserve">ystems and </w:t>
      </w:r>
      <w:r w:rsidR="000A6BAB">
        <w:rPr>
          <w:rFonts w:ascii="Arial" w:hAnsi="Arial" w:cs="Arial"/>
          <w:bCs/>
          <w:sz w:val="22"/>
          <w:szCs w:val="22"/>
        </w:rPr>
        <w:t>m</w:t>
      </w:r>
      <w:r w:rsidR="00FE73E1" w:rsidRPr="00FE73E1">
        <w:rPr>
          <w:rFonts w:ascii="Arial" w:hAnsi="Arial" w:cs="Arial"/>
          <w:bCs/>
          <w:sz w:val="22"/>
          <w:szCs w:val="22"/>
        </w:rPr>
        <w:t xml:space="preserve">edical </w:t>
      </w:r>
      <w:r w:rsidR="000A6BAB">
        <w:rPr>
          <w:rFonts w:ascii="Arial" w:hAnsi="Arial" w:cs="Arial"/>
          <w:bCs/>
          <w:sz w:val="22"/>
          <w:szCs w:val="22"/>
        </w:rPr>
        <w:t>t</w:t>
      </w:r>
      <w:r w:rsidR="00FE73E1" w:rsidRPr="00FE73E1">
        <w:rPr>
          <w:rFonts w:ascii="Arial" w:hAnsi="Arial" w:cs="Arial"/>
          <w:bCs/>
          <w:sz w:val="22"/>
          <w:szCs w:val="22"/>
        </w:rPr>
        <w:t>echnology</w:t>
      </w:r>
      <w:r w:rsidR="00690BFE">
        <w:rPr>
          <w:rFonts w:ascii="Arial" w:hAnsi="Arial" w:cs="Arial"/>
          <w:bCs/>
          <w:sz w:val="22"/>
          <w:szCs w:val="22"/>
        </w:rPr>
        <w:t xml:space="preserve"> putting in noteworthy performances</w:t>
      </w:r>
      <w:r w:rsidR="00FE73E1">
        <w:rPr>
          <w:rFonts w:ascii="Arial" w:hAnsi="Arial" w:cs="Arial"/>
          <w:bCs/>
          <w:sz w:val="22"/>
          <w:szCs w:val="22"/>
        </w:rPr>
        <w:t xml:space="preserve">. </w:t>
      </w:r>
      <w:r w:rsidR="009A6545">
        <w:rPr>
          <w:rFonts w:ascii="Arial" w:hAnsi="Arial" w:cs="Arial"/>
          <w:bCs/>
          <w:sz w:val="22"/>
          <w:szCs w:val="22"/>
        </w:rPr>
        <w:t>However, the leasing industry</w:t>
      </w:r>
      <w:r w:rsidR="00FE73E1" w:rsidRPr="00FE73E1">
        <w:rPr>
          <w:rFonts w:ascii="Arial" w:hAnsi="Arial" w:cs="Arial"/>
          <w:bCs/>
          <w:sz w:val="22"/>
          <w:szCs w:val="22"/>
        </w:rPr>
        <w:t xml:space="preserve"> felt the effects of the new </w:t>
      </w:r>
      <w:r w:rsidR="00FA2433">
        <w:rPr>
          <w:rFonts w:ascii="Arial" w:hAnsi="Arial" w:cs="Arial"/>
          <w:bCs/>
          <w:sz w:val="22"/>
          <w:szCs w:val="22"/>
        </w:rPr>
        <w:t xml:space="preserve">worldwide-harmonized WLTP </w:t>
      </w:r>
      <w:r w:rsidR="009A6545">
        <w:rPr>
          <w:rFonts w:ascii="Arial" w:hAnsi="Arial" w:cs="Arial"/>
          <w:bCs/>
          <w:sz w:val="22"/>
          <w:szCs w:val="22"/>
        </w:rPr>
        <w:t>vehicle-</w:t>
      </w:r>
      <w:r w:rsidR="00FE73E1" w:rsidRPr="00FE73E1">
        <w:rPr>
          <w:rFonts w:ascii="Arial" w:hAnsi="Arial" w:cs="Arial"/>
          <w:bCs/>
          <w:sz w:val="22"/>
          <w:szCs w:val="22"/>
        </w:rPr>
        <w:t>emis</w:t>
      </w:r>
      <w:r w:rsidR="009A6545">
        <w:rPr>
          <w:rFonts w:ascii="Arial" w:hAnsi="Arial" w:cs="Arial"/>
          <w:bCs/>
          <w:sz w:val="22"/>
          <w:szCs w:val="22"/>
        </w:rPr>
        <w:t xml:space="preserve">sions </w:t>
      </w:r>
      <w:r w:rsidR="00FE73E1" w:rsidRPr="00FE73E1">
        <w:rPr>
          <w:rFonts w:ascii="Arial" w:hAnsi="Arial" w:cs="Arial"/>
          <w:bCs/>
          <w:sz w:val="22"/>
          <w:szCs w:val="22"/>
        </w:rPr>
        <w:t>testing r</w:t>
      </w:r>
      <w:r w:rsidR="00FE73E1">
        <w:rPr>
          <w:rFonts w:ascii="Arial" w:hAnsi="Arial" w:cs="Arial"/>
          <w:bCs/>
          <w:sz w:val="22"/>
          <w:szCs w:val="22"/>
        </w:rPr>
        <w:t>e</w:t>
      </w:r>
      <w:r w:rsidR="00FA2433">
        <w:rPr>
          <w:rFonts w:ascii="Arial" w:hAnsi="Arial" w:cs="Arial"/>
          <w:bCs/>
          <w:sz w:val="22"/>
          <w:szCs w:val="22"/>
        </w:rPr>
        <w:t>gime: reductions in carmakers’ outputs created delivery bottlenecks, and</w:t>
      </w:r>
      <w:r w:rsidR="006A711C">
        <w:rPr>
          <w:rFonts w:ascii="Arial" w:hAnsi="Arial" w:cs="Arial"/>
          <w:bCs/>
          <w:sz w:val="22"/>
          <w:szCs w:val="22"/>
        </w:rPr>
        <w:t xml:space="preserve"> in the current year </w:t>
      </w:r>
      <w:r w:rsidR="00FA2433">
        <w:rPr>
          <w:rFonts w:ascii="Arial" w:hAnsi="Arial" w:cs="Arial"/>
          <w:bCs/>
          <w:sz w:val="22"/>
          <w:szCs w:val="22"/>
        </w:rPr>
        <w:t xml:space="preserve">the automotive segment </w:t>
      </w:r>
      <w:r w:rsidR="009A6545">
        <w:rPr>
          <w:rFonts w:ascii="Arial" w:hAnsi="Arial" w:cs="Arial"/>
          <w:bCs/>
          <w:sz w:val="22"/>
          <w:szCs w:val="22"/>
        </w:rPr>
        <w:t xml:space="preserve">of the leasing market </w:t>
      </w:r>
      <w:r w:rsidR="006A711C">
        <w:rPr>
          <w:rFonts w:ascii="Arial" w:hAnsi="Arial" w:cs="Arial"/>
          <w:bCs/>
          <w:sz w:val="22"/>
          <w:szCs w:val="22"/>
        </w:rPr>
        <w:t>has grown only moderately (by</w:t>
      </w:r>
      <w:r w:rsidR="00FE73E1">
        <w:rPr>
          <w:rFonts w:ascii="Arial" w:hAnsi="Arial" w:cs="Arial"/>
          <w:bCs/>
          <w:sz w:val="22"/>
          <w:szCs w:val="22"/>
        </w:rPr>
        <w:t xml:space="preserve"> </w:t>
      </w:r>
      <w:r w:rsidR="00CE5943" w:rsidRPr="00FE73E1">
        <w:rPr>
          <w:rFonts w:ascii="Arial" w:hAnsi="Arial" w:cs="Arial"/>
          <w:bCs/>
          <w:sz w:val="22"/>
          <w:szCs w:val="22"/>
        </w:rPr>
        <w:t xml:space="preserve">3 </w:t>
      </w:r>
      <w:r w:rsidR="006A711C">
        <w:rPr>
          <w:rFonts w:ascii="Arial" w:hAnsi="Arial" w:cs="Arial"/>
          <w:bCs/>
          <w:sz w:val="22"/>
          <w:szCs w:val="22"/>
        </w:rPr>
        <w:t xml:space="preserve">percent). </w:t>
      </w:r>
      <w:r w:rsidR="00746DAA" w:rsidRPr="00746DAA">
        <w:rPr>
          <w:rFonts w:ascii="Arial" w:hAnsi="Arial" w:cs="Arial"/>
          <w:bCs/>
          <w:sz w:val="22"/>
          <w:szCs w:val="22"/>
        </w:rPr>
        <w:t>Since vehicles account for most new lea</w:t>
      </w:r>
      <w:r w:rsidR="00746DAA" w:rsidRPr="00746DAA">
        <w:rPr>
          <w:rFonts w:ascii="Arial" w:hAnsi="Arial" w:cs="Arial"/>
          <w:bCs/>
          <w:sz w:val="22"/>
          <w:szCs w:val="22"/>
        </w:rPr>
        <w:t>s</w:t>
      </w:r>
      <w:r w:rsidR="00746DAA" w:rsidRPr="00746DAA">
        <w:rPr>
          <w:rFonts w:ascii="Arial" w:hAnsi="Arial" w:cs="Arial"/>
          <w:bCs/>
          <w:sz w:val="22"/>
          <w:szCs w:val="22"/>
        </w:rPr>
        <w:t>ing business transacted</w:t>
      </w:r>
      <w:r w:rsidR="00746DAA">
        <w:rPr>
          <w:rFonts w:ascii="Arial" w:hAnsi="Arial" w:cs="Arial"/>
          <w:bCs/>
          <w:sz w:val="22"/>
          <w:szCs w:val="22"/>
        </w:rPr>
        <w:t xml:space="preserve">, this development has had an effect on the overall volume of equipment leased in 2018, which has increased by 3.1 percent. </w:t>
      </w:r>
    </w:p>
    <w:p w:rsidR="003D0E91" w:rsidRPr="00C65B6C" w:rsidRDefault="00A967B1" w:rsidP="00FF565A">
      <w:pPr>
        <w:widowControl w:val="0"/>
        <w:autoSpaceDE w:val="0"/>
        <w:autoSpaceDN w:val="0"/>
        <w:adjustRightInd w:val="0"/>
        <w:spacing w:after="120"/>
        <w:ind w:right="-17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“</w:t>
      </w:r>
      <w:r w:rsidR="00A66D91" w:rsidRPr="00A967B1">
        <w:rPr>
          <w:rFonts w:ascii="Arial" w:hAnsi="Arial" w:cs="Arial"/>
          <w:bCs/>
          <w:sz w:val="22"/>
          <w:szCs w:val="22"/>
        </w:rPr>
        <w:t>W</w:t>
      </w:r>
      <w:r w:rsidR="00746DAA" w:rsidRPr="00A967B1">
        <w:rPr>
          <w:rFonts w:ascii="Arial" w:hAnsi="Arial" w:cs="Arial"/>
          <w:bCs/>
          <w:sz w:val="22"/>
          <w:szCs w:val="22"/>
        </w:rPr>
        <w:t xml:space="preserve">e are working on the assumption that </w:t>
      </w:r>
      <w:r w:rsidRPr="00A967B1">
        <w:rPr>
          <w:rFonts w:ascii="Arial" w:hAnsi="Arial" w:cs="Arial"/>
          <w:bCs/>
          <w:sz w:val="22"/>
          <w:szCs w:val="22"/>
        </w:rPr>
        <w:t xml:space="preserve">some vehicle </w:t>
      </w:r>
      <w:r w:rsidR="00FA2433">
        <w:rPr>
          <w:rFonts w:ascii="Arial" w:hAnsi="Arial" w:cs="Arial"/>
          <w:bCs/>
          <w:sz w:val="22"/>
          <w:szCs w:val="22"/>
        </w:rPr>
        <w:t>business</w:t>
      </w:r>
      <w:r w:rsidR="00466FBB">
        <w:rPr>
          <w:rFonts w:ascii="Arial" w:hAnsi="Arial" w:cs="Arial"/>
          <w:bCs/>
          <w:sz w:val="22"/>
          <w:szCs w:val="22"/>
        </w:rPr>
        <w:t xml:space="preserve"> is</w:t>
      </w:r>
      <w:r w:rsidR="00FA2433">
        <w:rPr>
          <w:rFonts w:ascii="Arial" w:hAnsi="Arial" w:cs="Arial"/>
          <w:bCs/>
          <w:sz w:val="22"/>
          <w:szCs w:val="22"/>
        </w:rPr>
        <w:t xml:space="preserve"> still in the pipeline</w:t>
      </w:r>
      <w:r w:rsidR="00466FBB">
        <w:rPr>
          <w:rFonts w:ascii="Arial" w:hAnsi="Arial" w:cs="Arial"/>
          <w:bCs/>
          <w:sz w:val="22"/>
          <w:szCs w:val="22"/>
        </w:rPr>
        <w:t xml:space="preserve"> and</w:t>
      </w:r>
      <w:r w:rsidRPr="00A967B1">
        <w:rPr>
          <w:rFonts w:ascii="Arial" w:hAnsi="Arial" w:cs="Arial"/>
          <w:bCs/>
          <w:sz w:val="22"/>
          <w:szCs w:val="22"/>
        </w:rPr>
        <w:t xml:space="preserve"> </w:t>
      </w:r>
      <w:r w:rsidR="00C65B6C">
        <w:rPr>
          <w:rFonts w:ascii="Arial" w:hAnsi="Arial" w:cs="Arial"/>
          <w:bCs/>
          <w:sz w:val="22"/>
          <w:szCs w:val="22"/>
        </w:rPr>
        <w:t xml:space="preserve">will show up next year, for </w:t>
      </w:r>
      <w:r w:rsidRPr="00A967B1">
        <w:rPr>
          <w:rFonts w:ascii="Arial" w:hAnsi="Arial" w:cs="Arial"/>
          <w:bCs/>
          <w:sz w:val="22"/>
          <w:szCs w:val="22"/>
        </w:rPr>
        <w:t>companies</w:t>
      </w:r>
      <w:r w:rsidR="00C65B6C">
        <w:rPr>
          <w:rFonts w:ascii="Arial" w:hAnsi="Arial" w:cs="Arial"/>
          <w:bCs/>
          <w:sz w:val="22"/>
          <w:szCs w:val="22"/>
        </w:rPr>
        <w:t xml:space="preserve">’ </w:t>
      </w:r>
      <w:r w:rsidRPr="00A967B1">
        <w:rPr>
          <w:rFonts w:ascii="Arial" w:hAnsi="Arial" w:cs="Arial"/>
          <w:bCs/>
          <w:sz w:val="22"/>
          <w:szCs w:val="22"/>
        </w:rPr>
        <w:t>order books are we</w:t>
      </w:r>
      <w:r>
        <w:rPr>
          <w:rFonts w:ascii="Arial" w:hAnsi="Arial" w:cs="Arial"/>
          <w:bCs/>
          <w:sz w:val="22"/>
          <w:szCs w:val="22"/>
        </w:rPr>
        <w:t xml:space="preserve">ll filled,” says Kai </w:t>
      </w:r>
      <w:proofErr w:type="spellStart"/>
      <w:r>
        <w:rPr>
          <w:rFonts w:ascii="Arial" w:hAnsi="Arial" w:cs="Arial"/>
          <w:bCs/>
          <w:sz w:val="22"/>
          <w:szCs w:val="22"/>
        </w:rPr>
        <w:t>Oste</w:t>
      </w:r>
      <w:r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>mann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President of the German Leasing Association </w:t>
      </w:r>
      <w:r w:rsidR="00A66D91" w:rsidRPr="00A967B1">
        <w:rPr>
          <w:rFonts w:ascii="Arial" w:hAnsi="Arial" w:cs="Arial"/>
          <w:bCs/>
          <w:sz w:val="22"/>
          <w:szCs w:val="22"/>
        </w:rPr>
        <w:t>(BDL).</w:t>
      </w:r>
      <w:r w:rsidR="00C65B6C">
        <w:rPr>
          <w:rFonts w:ascii="Arial" w:hAnsi="Arial" w:cs="Arial"/>
          <w:bCs/>
          <w:sz w:val="22"/>
          <w:szCs w:val="22"/>
        </w:rPr>
        <w:t xml:space="preserve"> </w:t>
      </w:r>
      <w:r w:rsidR="00DF40F2" w:rsidRPr="00C65B6C">
        <w:rPr>
          <w:rFonts w:ascii="Arial" w:hAnsi="Arial" w:cs="Arial"/>
          <w:bCs/>
          <w:sz w:val="22"/>
          <w:szCs w:val="22"/>
        </w:rPr>
        <w:t xml:space="preserve">In </w:t>
      </w:r>
      <w:r w:rsidR="00C65B6C" w:rsidRPr="00C65B6C">
        <w:rPr>
          <w:rFonts w:ascii="Arial" w:hAnsi="Arial" w:cs="Arial"/>
          <w:bCs/>
          <w:sz w:val="22"/>
          <w:szCs w:val="22"/>
        </w:rPr>
        <w:t>view of this one-off e</w:t>
      </w:r>
      <w:r w:rsidR="00C65B6C" w:rsidRPr="00C65B6C">
        <w:rPr>
          <w:rFonts w:ascii="Arial" w:hAnsi="Arial" w:cs="Arial"/>
          <w:bCs/>
          <w:sz w:val="22"/>
          <w:szCs w:val="22"/>
        </w:rPr>
        <w:t>f</w:t>
      </w:r>
      <w:r w:rsidR="00C65B6C" w:rsidRPr="00C65B6C">
        <w:rPr>
          <w:rFonts w:ascii="Arial" w:hAnsi="Arial" w:cs="Arial"/>
          <w:bCs/>
          <w:sz w:val="22"/>
          <w:szCs w:val="22"/>
        </w:rPr>
        <w:t>fect</w:t>
      </w:r>
      <w:r w:rsidR="00C65B6C">
        <w:rPr>
          <w:rFonts w:ascii="Arial" w:hAnsi="Arial" w:cs="Arial"/>
          <w:bCs/>
          <w:sz w:val="22"/>
          <w:szCs w:val="22"/>
        </w:rPr>
        <w:t xml:space="preserve">, and the dynamic – indeed record-breaking – performances seen in 2016 and 2017, the leasing sector can feel satisfied with how 2018 has progressed. </w:t>
      </w:r>
      <w:r w:rsidR="00C65B6C" w:rsidRPr="00153F72">
        <w:rPr>
          <w:rFonts w:ascii="Arial" w:hAnsi="Arial" w:cs="Arial"/>
          <w:bCs/>
          <w:sz w:val="22"/>
          <w:szCs w:val="22"/>
        </w:rPr>
        <w:t xml:space="preserve">Demand for </w:t>
      </w:r>
      <w:proofErr w:type="gramStart"/>
      <w:r w:rsidR="00C65B6C" w:rsidRPr="00153F72">
        <w:rPr>
          <w:rFonts w:ascii="Arial" w:hAnsi="Arial" w:cs="Arial"/>
          <w:bCs/>
          <w:sz w:val="22"/>
          <w:szCs w:val="22"/>
        </w:rPr>
        <w:t>leased</w:t>
      </w:r>
      <w:proofErr w:type="gramEnd"/>
      <w:r w:rsidR="00C65B6C" w:rsidRPr="00153F72">
        <w:rPr>
          <w:rFonts w:ascii="Arial" w:hAnsi="Arial" w:cs="Arial"/>
          <w:bCs/>
          <w:sz w:val="22"/>
          <w:szCs w:val="22"/>
        </w:rPr>
        <w:t xml:space="preserve"> assets remains constant and high. </w:t>
      </w:r>
      <w:r w:rsidR="00C65B6C" w:rsidRPr="00C65B6C">
        <w:rPr>
          <w:rFonts w:ascii="Arial" w:hAnsi="Arial" w:cs="Arial"/>
          <w:bCs/>
          <w:sz w:val="22"/>
          <w:szCs w:val="22"/>
        </w:rPr>
        <w:t>This is reflected in the proportion of externa</w:t>
      </w:r>
      <w:r w:rsidR="00C65B6C" w:rsidRPr="00C65B6C">
        <w:rPr>
          <w:rFonts w:ascii="Arial" w:hAnsi="Arial" w:cs="Arial"/>
          <w:bCs/>
          <w:sz w:val="22"/>
          <w:szCs w:val="22"/>
        </w:rPr>
        <w:t>l</w:t>
      </w:r>
      <w:r w:rsidR="00C65B6C" w:rsidRPr="00C65B6C">
        <w:rPr>
          <w:rFonts w:ascii="Arial" w:hAnsi="Arial" w:cs="Arial"/>
          <w:bCs/>
          <w:sz w:val="22"/>
          <w:szCs w:val="22"/>
        </w:rPr>
        <w:t>ly fin</w:t>
      </w:r>
      <w:r w:rsidR="00C65B6C">
        <w:rPr>
          <w:rFonts w:ascii="Arial" w:hAnsi="Arial" w:cs="Arial"/>
          <w:bCs/>
          <w:sz w:val="22"/>
          <w:szCs w:val="22"/>
        </w:rPr>
        <w:t>anced investments accounted for by lea</w:t>
      </w:r>
      <w:r w:rsidR="00466FBB">
        <w:rPr>
          <w:rFonts w:ascii="Arial" w:hAnsi="Arial" w:cs="Arial"/>
          <w:bCs/>
          <w:sz w:val="22"/>
          <w:szCs w:val="22"/>
        </w:rPr>
        <w:t>sing: the figure for this</w:t>
      </w:r>
      <w:r w:rsidR="00C65B6C">
        <w:rPr>
          <w:rFonts w:ascii="Arial" w:hAnsi="Arial" w:cs="Arial"/>
          <w:bCs/>
          <w:sz w:val="22"/>
          <w:szCs w:val="22"/>
        </w:rPr>
        <w:t xml:space="preserve"> year is 54 percent. “Leasing,” </w:t>
      </w:r>
      <w:r w:rsidR="00F34C9A">
        <w:rPr>
          <w:rFonts w:ascii="Arial" w:hAnsi="Arial" w:cs="Arial"/>
          <w:bCs/>
          <w:sz w:val="22"/>
          <w:szCs w:val="22"/>
        </w:rPr>
        <w:t>says</w:t>
      </w:r>
      <w:r w:rsidR="00C65B6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A6545">
        <w:rPr>
          <w:rFonts w:ascii="Arial" w:hAnsi="Arial" w:cs="Arial"/>
          <w:bCs/>
          <w:sz w:val="22"/>
          <w:szCs w:val="22"/>
        </w:rPr>
        <w:t>Ostermann</w:t>
      </w:r>
      <w:proofErr w:type="spellEnd"/>
      <w:r w:rsidR="009A6545">
        <w:rPr>
          <w:rFonts w:ascii="Arial" w:hAnsi="Arial" w:cs="Arial"/>
          <w:bCs/>
          <w:sz w:val="22"/>
          <w:szCs w:val="22"/>
        </w:rPr>
        <w:t>, “is quite clear</w:t>
      </w:r>
      <w:r w:rsidR="00FA2433">
        <w:rPr>
          <w:rFonts w:ascii="Arial" w:hAnsi="Arial" w:cs="Arial"/>
          <w:bCs/>
          <w:sz w:val="22"/>
          <w:szCs w:val="22"/>
        </w:rPr>
        <w:t xml:space="preserve">ly </w:t>
      </w:r>
      <w:r w:rsidR="00C65B6C">
        <w:rPr>
          <w:rFonts w:ascii="Arial" w:hAnsi="Arial" w:cs="Arial"/>
          <w:bCs/>
          <w:sz w:val="22"/>
          <w:szCs w:val="22"/>
        </w:rPr>
        <w:t>the predominant financing tool.”</w:t>
      </w:r>
    </w:p>
    <w:p w:rsidR="00560366" w:rsidRPr="00637E45" w:rsidRDefault="00C65B6C" w:rsidP="004D4640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637E45">
        <w:rPr>
          <w:rFonts w:ascii="Arial" w:hAnsi="Arial" w:cs="Arial"/>
          <w:b/>
          <w:bCs/>
          <w:sz w:val="22"/>
          <w:szCs w:val="22"/>
        </w:rPr>
        <w:t xml:space="preserve">The </w:t>
      </w:r>
      <w:r w:rsidR="007F5148">
        <w:rPr>
          <w:rFonts w:ascii="Arial" w:hAnsi="Arial" w:cs="Arial"/>
          <w:b/>
          <w:bCs/>
          <w:sz w:val="22"/>
          <w:szCs w:val="22"/>
        </w:rPr>
        <w:t>O</w:t>
      </w:r>
      <w:bookmarkStart w:id="0" w:name="_GoBack"/>
      <w:bookmarkEnd w:id="0"/>
      <w:r w:rsidRPr="00637E45">
        <w:rPr>
          <w:rFonts w:ascii="Arial" w:hAnsi="Arial" w:cs="Arial"/>
          <w:b/>
          <w:bCs/>
          <w:sz w:val="22"/>
          <w:szCs w:val="22"/>
        </w:rPr>
        <w:t>utlook for</w:t>
      </w:r>
      <w:r w:rsidR="00560366" w:rsidRPr="00637E45">
        <w:rPr>
          <w:rFonts w:ascii="Arial" w:hAnsi="Arial" w:cs="Arial"/>
          <w:b/>
          <w:bCs/>
          <w:sz w:val="22"/>
          <w:szCs w:val="22"/>
        </w:rPr>
        <w:t xml:space="preserve"> 2019 </w:t>
      </w:r>
    </w:p>
    <w:p w:rsidR="00997EA8" w:rsidRPr="007C1D8A" w:rsidRDefault="00153F72" w:rsidP="004D4640">
      <w:pPr>
        <w:spacing w:after="120"/>
        <w:rPr>
          <w:rFonts w:ascii="Arial" w:hAnsi="Arial" w:cs="Arial"/>
          <w:bCs/>
          <w:sz w:val="22"/>
          <w:szCs w:val="22"/>
        </w:rPr>
      </w:pPr>
      <w:r w:rsidRPr="00153F72">
        <w:rPr>
          <w:rFonts w:ascii="Arial" w:hAnsi="Arial" w:cs="Arial"/>
          <w:bCs/>
          <w:sz w:val="22"/>
          <w:szCs w:val="22"/>
        </w:rPr>
        <w:t>The l</w:t>
      </w:r>
      <w:r w:rsidR="00FA2433">
        <w:rPr>
          <w:rFonts w:ascii="Arial" w:hAnsi="Arial" w:cs="Arial"/>
          <w:bCs/>
          <w:sz w:val="22"/>
          <w:szCs w:val="22"/>
        </w:rPr>
        <w:t>easing in</w:t>
      </w:r>
      <w:r w:rsidR="00AA3451">
        <w:rPr>
          <w:rFonts w:ascii="Arial" w:hAnsi="Arial" w:cs="Arial"/>
          <w:bCs/>
          <w:sz w:val="22"/>
          <w:szCs w:val="22"/>
        </w:rPr>
        <w:t xml:space="preserve">dustry is forecasting </w:t>
      </w:r>
      <w:r w:rsidR="00466FBB">
        <w:rPr>
          <w:rFonts w:ascii="Arial" w:hAnsi="Arial" w:cs="Arial"/>
          <w:bCs/>
          <w:sz w:val="22"/>
          <w:szCs w:val="22"/>
        </w:rPr>
        <w:t>a 3</w:t>
      </w:r>
      <w:r w:rsidR="009A6545">
        <w:rPr>
          <w:rFonts w:ascii="Arial" w:hAnsi="Arial" w:cs="Arial"/>
          <w:bCs/>
          <w:sz w:val="22"/>
          <w:szCs w:val="22"/>
        </w:rPr>
        <w:t xml:space="preserve"> to</w:t>
      </w:r>
      <w:r w:rsidRPr="00153F72">
        <w:rPr>
          <w:rFonts w:ascii="Arial" w:hAnsi="Arial" w:cs="Arial"/>
          <w:bCs/>
          <w:sz w:val="22"/>
          <w:szCs w:val="22"/>
        </w:rPr>
        <w:t xml:space="preserve"> 4 </w:t>
      </w:r>
      <w:r w:rsidR="006003C5">
        <w:rPr>
          <w:rFonts w:ascii="Arial" w:hAnsi="Arial" w:cs="Arial"/>
          <w:bCs/>
          <w:sz w:val="22"/>
          <w:szCs w:val="22"/>
        </w:rPr>
        <w:t>percent</w:t>
      </w:r>
      <w:r w:rsidR="00AA3451">
        <w:rPr>
          <w:rFonts w:ascii="Arial" w:hAnsi="Arial" w:cs="Arial"/>
          <w:bCs/>
          <w:sz w:val="22"/>
          <w:szCs w:val="22"/>
        </w:rPr>
        <w:t xml:space="preserve"> increase in business</w:t>
      </w:r>
      <w:r w:rsidR="006003C5">
        <w:rPr>
          <w:rFonts w:ascii="Arial" w:hAnsi="Arial" w:cs="Arial"/>
          <w:bCs/>
          <w:sz w:val="22"/>
          <w:szCs w:val="22"/>
        </w:rPr>
        <w:t xml:space="preserve"> in 2019. </w:t>
      </w:r>
      <w:r w:rsidR="006003C5" w:rsidRPr="007C1D8A">
        <w:rPr>
          <w:rFonts w:ascii="Arial" w:hAnsi="Arial" w:cs="Arial"/>
          <w:bCs/>
          <w:sz w:val="22"/>
          <w:szCs w:val="22"/>
        </w:rPr>
        <w:t>It</w:t>
      </w:r>
      <w:r w:rsidRPr="007C1D8A">
        <w:rPr>
          <w:rFonts w:ascii="Arial" w:hAnsi="Arial" w:cs="Arial"/>
          <w:bCs/>
          <w:sz w:val="22"/>
          <w:szCs w:val="22"/>
        </w:rPr>
        <w:t xml:space="preserve"> </w:t>
      </w:r>
      <w:r w:rsidR="006003C5" w:rsidRPr="007C1D8A">
        <w:rPr>
          <w:rFonts w:ascii="Arial" w:hAnsi="Arial" w:cs="Arial"/>
          <w:bCs/>
          <w:sz w:val="22"/>
          <w:szCs w:val="22"/>
        </w:rPr>
        <w:t>is confident it will outperform the overall rate of</w:t>
      </w:r>
      <w:r w:rsidR="00466FBB">
        <w:rPr>
          <w:rFonts w:ascii="Arial" w:hAnsi="Arial" w:cs="Arial"/>
          <w:bCs/>
          <w:sz w:val="22"/>
          <w:szCs w:val="22"/>
        </w:rPr>
        <w:t xml:space="preserve"> growth in equipment investment</w:t>
      </w:r>
      <w:r w:rsidR="006003C5" w:rsidRPr="007C1D8A">
        <w:rPr>
          <w:rFonts w:ascii="Arial" w:hAnsi="Arial" w:cs="Arial"/>
          <w:bCs/>
          <w:sz w:val="22"/>
          <w:szCs w:val="22"/>
        </w:rPr>
        <w:t xml:space="preserve">, which is not expected to be any more than 3 percent. </w:t>
      </w:r>
      <w:r w:rsidR="007C1D8A">
        <w:rPr>
          <w:rFonts w:ascii="Arial" w:hAnsi="Arial" w:cs="Arial"/>
          <w:bCs/>
          <w:sz w:val="22"/>
          <w:szCs w:val="22"/>
        </w:rPr>
        <w:t>“</w:t>
      </w:r>
      <w:r w:rsidR="009A6545">
        <w:rPr>
          <w:rFonts w:ascii="Arial" w:hAnsi="Arial" w:cs="Arial"/>
          <w:bCs/>
          <w:sz w:val="22"/>
          <w:szCs w:val="22"/>
        </w:rPr>
        <w:t>A higher growth rate than</w:t>
      </w:r>
      <w:r w:rsidR="00466FBB">
        <w:rPr>
          <w:rFonts w:ascii="Arial" w:hAnsi="Arial" w:cs="Arial"/>
          <w:bCs/>
          <w:sz w:val="22"/>
          <w:szCs w:val="22"/>
        </w:rPr>
        <w:t xml:space="preserve"> at most </w:t>
      </w:r>
      <w:r w:rsidR="00AA3451">
        <w:rPr>
          <w:rFonts w:ascii="Arial" w:hAnsi="Arial" w:cs="Arial"/>
          <w:bCs/>
          <w:sz w:val="22"/>
          <w:szCs w:val="22"/>
        </w:rPr>
        <w:t>4 per</w:t>
      </w:r>
      <w:r w:rsidR="00466FBB">
        <w:rPr>
          <w:rFonts w:ascii="Arial" w:hAnsi="Arial" w:cs="Arial"/>
          <w:bCs/>
          <w:sz w:val="22"/>
          <w:szCs w:val="22"/>
        </w:rPr>
        <w:t xml:space="preserve">cent </w:t>
      </w:r>
      <w:r w:rsidR="006003C5" w:rsidRPr="006003C5">
        <w:rPr>
          <w:rFonts w:ascii="Arial" w:hAnsi="Arial" w:cs="Arial"/>
          <w:bCs/>
          <w:sz w:val="22"/>
          <w:szCs w:val="22"/>
        </w:rPr>
        <w:t>is not really on the cards</w:t>
      </w:r>
      <w:r w:rsidR="00466FBB">
        <w:rPr>
          <w:rFonts w:ascii="Arial" w:hAnsi="Arial" w:cs="Arial"/>
          <w:bCs/>
          <w:sz w:val="22"/>
          <w:szCs w:val="22"/>
        </w:rPr>
        <w:t xml:space="preserve"> for the leasing sector</w:t>
      </w:r>
      <w:r w:rsidR="006003C5" w:rsidRPr="006003C5">
        <w:rPr>
          <w:rFonts w:ascii="Arial" w:hAnsi="Arial" w:cs="Arial"/>
          <w:bCs/>
          <w:sz w:val="22"/>
          <w:szCs w:val="22"/>
        </w:rPr>
        <w:t>, given that leasing activity is dependent on the state of the economy</w:t>
      </w:r>
      <w:r w:rsidR="009A6545">
        <w:rPr>
          <w:rFonts w:ascii="Arial" w:hAnsi="Arial" w:cs="Arial"/>
          <w:bCs/>
          <w:sz w:val="22"/>
          <w:szCs w:val="22"/>
        </w:rPr>
        <w:t>,</w:t>
      </w:r>
      <w:r w:rsidR="00637E45" w:rsidRPr="006003C5">
        <w:rPr>
          <w:rFonts w:ascii="Arial" w:hAnsi="Arial" w:cs="Arial"/>
          <w:bCs/>
          <w:sz w:val="22"/>
          <w:szCs w:val="22"/>
        </w:rPr>
        <w:t>“</w:t>
      </w:r>
      <w:r w:rsidR="009A6545">
        <w:rPr>
          <w:rFonts w:ascii="Arial" w:hAnsi="Arial" w:cs="Arial"/>
          <w:bCs/>
          <w:sz w:val="22"/>
          <w:szCs w:val="22"/>
        </w:rPr>
        <w:t xml:space="preserve"> </w:t>
      </w:r>
      <w:r w:rsidR="00637E45" w:rsidRPr="006003C5">
        <w:rPr>
          <w:rFonts w:ascii="Arial" w:hAnsi="Arial" w:cs="Arial"/>
          <w:bCs/>
          <w:sz w:val="22"/>
          <w:szCs w:val="22"/>
        </w:rPr>
        <w:t>explains</w:t>
      </w:r>
      <w:r w:rsidR="006003C5" w:rsidRPr="006003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6003C5" w:rsidRPr="006003C5">
        <w:rPr>
          <w:rFonts w:ascii="Arial" w:hAnsi="Arial" w:cs="Arial"/>
          <w:bCs/>
          <w:sz w:val="22"/>
          <w:szCs w:val="22"/>
        </w:rPr>
        <w:t>Osterm</w:t>
      </w:r>
      <w:r w:rsidR="006003C5">
        <w:rPr>
          <w:rFonts w:ascii="Arial" w:hAnsi="Arial" w:cs="Arial"/>
          <w:bCs/>
          <w:sz w:val="22"/>
          <w:szCs w:val="22"/>
        </w:rPr>
        <w:t>ann</w:t>
      </w:r>
      <w:proofErr w:type="spellEnd"/>
      <w:r w:rsidR="006003C5">
        <w:rPr>
          <w:rFonts w:ascii="Arial" w:hAnsi="Arial" w:cs="Arial"/>
          <w:bCs/>
          <w:sz w:val="22"/>
          <w:szCs w:val="22"/>
        </w:rPr>
        <w:t xml:space="preserve">. </w:t>
      </w:r>
      <w:r w:rsidR="006003C5" w:rsidRPr="00E046CD">
        <w:rPr>
          <w:rFonts w:ascii="Arial" w:hAnsi="Arial" w:cs="Arial"/>
          <w:bCs/>
          <w:sz w:val="22"/>
          <w:szCs w:val="22"/>
        </w:rPr>
        <w:t xml:space="preserve">Indeed, the leading economic research </w:t>
      </w:r>
      <w:r w:rsidR="00280A3D">
        <w:rPr>
          <w:rFonts w:ascii="Arial" w:hAnsi="Arial" w:cs="Arial"/>
          <w:bCs/>
          <w:sz w:val="22"/>
          <w:szCs w:val="22"/>
        </w:rPr>
        <w:t xml:space="preserve">institutes </w:t>
      </w:r>
      <w:r w:rsidR="00E046CD" w:rsidRPr="00E046CD">
        <w:rPr>
          <w:rFonts w:ascii="Arial" w:hAnsi="Arial" w:cs="Arial"/>
          <w:bCs/>
          <w:sz w:val="22"/>
          <w:szCs w:val="22"/>
        </w:rPr>
        <w:t>and the German Council of E</w:t>
      </w:r>
      <w:r w:rsidR="00E046CD">
        <w:rPr>
          <w:rFonts w:ascii="Arial" w:hAnsi="Arial" w:cs="Arial"/>
          <w:bCs/>
          <w:sz w:val="22"/>
          <w:szCs w:val="22"/>
        </w:rPr>
        <w:t>conomic E</w:t>
      </w:r>
      <w:r w:rsidR="00E046CD">
        <w:rPr>
          <w:rFonts w:ascii="Arial" w:hAnsi="Arial" w:cs="Arial"/>
          <w:bCs/>
          <w:sz w:val="22"/>
          <w:szCs w:val="22"/>
        </w:rPr>
        <w:t>x</w:t>
      </w:r>
      <w:r w:rsidR="00E046CD">
        <w:rPr>
          <w:rFonts w:ascii="Arial" w:hAnsi="Arial" w:cs="Arial"/>
          <w:bCs/>
          <w:sz w:val="22"/>
          <w:szCs w:val="22"/>
        </w:rPr>
        <w:t xml:space="preserve">perts have recently revised their forecasts downwards. </w:t>
      </w:r>
      <w:r w:rsidR="00E046CD" w:rsidRPr="00E046CD">
        <w:rPr>
          <w:rFonts w:ascii="Arial" w:hAnsi="Arial" w:cs="Arial"/>
          <w:bCs/>
          <w:sz w:val="22"/>
          <w:szCs w:val="22"/>
        </w:rPr>
        <w:t>They are now predicting that the German economy will</w:t>
      </w:r>
      <w:r w:rsidR="00E046CD">
        <w:rPr>
          <w:rFonts w:ascii="Arial" w:hAnsi="Arial" w:cs="Arial"/>
          <w:bCs/>
          <w:sz w:val="22"/>
          <w:szCs w:val="22"/>
        </w:rPr>
        <w:t xml:space="preserve"> continue to grow in 2019, but less dynam</w:t>
      </w:r>
      <w:r w:rsidR="0001184A">
        <w:rPr>
          <w:rFonts w:ascii="Arial" w:hAnsi="Arial" w:cs="Arial"/>
          <w:bCs/>
          <w:sz w:val="22"/>
          <w:szCs w:val="22"/>
        </w:rPr>
        <w:t>ically than previously estima</w:t>
      </w:r>
      <w:r w:rsidR="0001184A">
        <w:rPr>
          <w:rFonts w:ascii="Arial" w:hAnsi="Arial" w:cs="Arial"/>
          <w:bCs/>
          <w:sz w:val="22"/>
          <w:szCs w:val="22"/>
        </w:rPr>
        <w:t>t</w:t>
      </w:r>
      <w:r w:rsidR="007C1D8A">
        <w:rPr>
          <w:rFonts w:ascii="Arial" w:hAnsi="Arial" w:cs="Arial"/>
          <w:bCs/>
          <w:sz w:val="22"/>
          <w:szCs w:val="22"/>
        </w:rPr>
        <w:t>ed. T</w:t>
      </w:r>
      <w:r w:rsidR="00E046CD" w:rsidRPr="007C1D8A">
        <w:rPr>
          <w:rFonts w:ascii="Arial" w:hAnsi="Arial" w:cs="Arial"/>
          <w:bCs/>
          <w:sz w:val="22"/>
          <w:szCs w:val="22"/>
        </w:rPr>
        <w:t>here is a growing reluctance to invest</w:t>
      </w:r>
      <w:r w:rsidR="009A6545">
        <w:rPr>
          <w:rFonts w:ascii="Arial" w:hAnsi="Arial" w:cs="Arial"/>
          <w:bCs/>
          <w:sz w:val="22"/>
          <w:szCs w:val="22"/>
        </w:rPr>
        <w:t>, particularly in the corporate se</w:t>
      </w:r>
      <w:r w:rsidR="009A6545">
        <w:rPr>
          <w:rFonts w:ascii="Arial" w:hAnsi="Arial" w:cs="Arial"/>
          <w:bCs/>
          <w:sz w:val="22"/>
          <w:szCs w:val="22"/>
        </w:rPr>
        <w:t>c</w:t>
      </w:r>
      <w:r w:rsidR="009A6545">
        <w:rPr>
          <w:rFonts w:ascii="Arial" w:hAnsi="Arial" w:cs="Arial"/>
          <w:bCs/>
          <w:sz w:val="22"/>
          <w:szCs w:val="22"/>
        </w:rPr>
        <w:t>tor</w:t>
      </w:r>
      <w:r w:rsidR="00E046CD" w:rsidRPr="007C1D8A">
        <w:rPr>
          <w:rFonts w:ascii="Arial" w:hAnsi="Arial" w:cs="Arial"/>
          <w:bCs/>
          <w:sz w:val="22"/>
          <w:szCs w:val="22"/>
        </w:rPr>
        <w:t>.</w:t>
      </w:r>
      <w:r w:rsidR="007C1D8A">
        <w:rPr>
          <w:rFonts w:ascii="Arial" w:hAnsi="Arial" w:cs="Arial"/>
          <w:bCs/>
          <w:sz w:val="22"/>
          <w:szCs w:val="22"/>
        </w:rPr>
        <w:t xml:space="preserve"> </w:t>
      </w:r>
      <w:r w:rsidR="007C1D8A" w:rsidRPr="007C1D8A">
        <w:rPr>
          <w:rFonts w:ascii="Arial" w:hAnsi="Arial" w:cs="Arial"/>
          <w:bCs/>
          <w:sz w:val="22"/>
          <w:szCs w:val="22"/>
        </w:rPr>
        <w:t>In</w:t>
      </w:r>
      <w:r w:rsidR="00AA3451">
        <w:rPr>
          <w:rFonts w:ascii="Arial" w:hAnsi="Arial" w:cs="Arial"/>
          <w:bCs/>
          <w:sz w:val="22"/>
          <w:szCs w:val="22"/>
        </w:rPr>
        <w:t xml:space="preserve"> the opinion of the BDL President, in</w:t>
      </w:r>
      <w:r w:rsidR="009A6545">
        <w:rPr>
          <w:rFonts w:ascii="Arial" w:hAnsi="Arial" w:cs="Arial"/>
          <w:bCs/>
          <w:sz w:val="22"/>
          <w:szCs w:val="22"/>
        </w:rPr>
        <w:t xml:space="preserve">vestment – or the lack thereof – is </w:t>
      </w:r>
      <w:r w:rsidR="007C1D8A" w:rsidRPr="007C1D8A">
        <w:rPr>
          <w:rFonts w:ascii="Arial" w:hAnsi="Arial" w:cs="Arial"/>
          <w:bCs/>
          <w:sz w:val="22"/>
          <w:szCs w:val="22"/>
        </w:rPr>
        <w:t xml:space="preserve">the Achilles heel of the German </w:t>
      </w:r>
      <w:r w:rsidR="00637E45" w:rsidRPr="007C1D8A">
        <w:rPr>
          <w:rFonts w:ascii="Arial" w:hAnsi="Arial" w:cs="Arial"/>
          <w:bCs/>
          <w:sz w:val="22"/>
          <w:szCs w:val="22"/>
        </w:rPr>
        <w:t>economy</w:t>
      </w:r>
      <w:r w:rsidR="00AA3451">
        <w:rPr>
          <w:rFonts w:ascii="Arial" w:hAnsi="Arial" w:cs="Arial"/>
          <w:bCs/>
          <w:sz w:val="22"/>
          <w:szCs w:val="22"/>
        </w:rPr>
        <w:t>. He insists that</w:t>
      </w:r>
      <w:r w:rsidR="00415910">
        <w:rPr>
          <w:rFonts w:ascii="Arial" w:hAnsi="Arial" w:cs="Arial"/>
          <w:bCs/>
          <w:sz w:val="22"/>
          <w:szCs w:val="22"/>
        </w:rPr>
        <w:t xml:space="preserve"> the federal g</w:t>
      </w:r>
      <w:r w:rsidR="007C1D8A" w:rsidRPr="007C1D8A">
        <w:rPr>
          <w:rFonts w:ascii="Arial" w:hAnsi="Arial" w:cs="Arial"/>
          <w:bCs/>
          <w:sz w:val="22"/>
          <w:szCs w:val="22"/>
        </w:rPr>
        <w:t>overnment s</w:t>
      </w:r>
      <w:r w:rsidR="007C1D8A">
        <w:rPr>
          <w:rFonts w:ascii="Arial" w:hAnsi="Arial" w:cs="Arial"/>
          <w:bCs/>
          <w:sz w:val="22"/>
          <w:szCs w:val="22"/>
        </w:rPr>
        <w:t>hould be putting measures in place to make Germany a more attractive location for inves</w:t>
      </w:r>
      <w:r w:rsidR="007C1D8A">
        <w:rPr>
          <w:rFonts w:ascii="Arial" w:hAnsi="Arial" w:cs="Arial"/>
          <w:bCs/>
          <w:sz w:val="22"/>
          <w:szCs w:val="22"/>
        </w:rPr>
        <w:t>t</w:t>
      </w:r>
      <w:r w:rsidR="007C1D8A">
        <w:rPr>
          <w:rFonts w:ascii="Arial" w:hAnsi="Arial" w:cs="Arial"/>
          <w:bCs/>
          <w:sz w:val="22"/>
          <w:szCs w:val="22"/>
        </w:rPr>
        <w:t xml:space="preserve">ment. </w:t>
      </w:r>
    </w:p>
    <w:p w:rsidR="00560366" w:rsidRPr="007C1D8A" w:rsidRDefault="00D30734" w:rsidP="00560366">
      <w:pPr>
        <w:widowControl w:val="0"/>
        <w:autoSpaceDE w:val="0"/>
        <w:autoSpaceDN w:val="0"/>
        <w:adjustRightInd w:val="0"/>
        <w:spacing w:after="120"/>
        <w:ind w:right="-2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Improv</w:t>
      </w:r>
      <w:r w:rsidR="007C1D8A" w:rsidRPr="007C1D8A">
        <w:rPr>
          <w:rFonts w:ascii="Arial" w:hAnsi="Arial" w:cs="Arial"/>
          <w:b/>
          <w:bCs/>
          <w:sz w:val="22"/>
          <w:szCs w:val="22"/>
        </w:rPr>
        <w:t>ing Germany</w:t>
      </w:r>
      <w:r>
        <w:rPr>
          <w:rFonts w:ascii="Arial" w:hAnsi="Arial" w:cs="Arial"/>
          <w:b/>
          <w:bCs/>
          <w:sz w:val="22"/>
          <w:szCs w:val="22"/>
        </w:rPr>
        <w:t xml:space="preserve">’s </w:t>
      </w:r>
      <w:r w:rsidR="007F5148">
        <w:rPr>
          <w:rFonts w:ascii="Arial" w:hAnsi="Arial" w:cs="Arial"/>
          <w:b/>
          <w:bCs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 xml:space="preserve">redentials </w:t>
      </w:r>
      <w:r w:rsidR="007F5148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 xml:space="preserve">s a </w:t>
      </w:r>
      <w:r w:rsidR="007F5148">
        <w:rPr>
          <w:rFonts w:ascii="Arial" w:hAnsi="Arial" w:cs="Arial"/>
          <w:b/>
          <w:bCs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 xml:space="preserve">ountry to </w:t>
      </w:r>
      <w:r w:rsidR="007F5148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 xml:space="preserve">nvest </w:t>
      </w:r>
      <w:r w:rsidR="007F5148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n</w:t>
      </w:r>
      <w:r w:rsidR="002874C9" w:rsidRPr="007C1D8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1078B" w:rsidRPr="002A493A" w:rsidRDefault="00923412" w:rsidP="00472FF8">
      <w:pPr>
        <w:widowControl w:val="0"/>
        <w:autoSpaceDE w:val="0"/>
        <w:autoSpaceDN w:val="0"/>
        <w:adjustRightInd w:val="0"/>
        <w:spacing w:after="120"/>
        <w:ind w:right="-23"/>
        <w:rPr>
          <w:rFonts w:ascii="Arial" w:hAnsi="Arial" w:cs="Arial"/>
          <w:bCs/>
          <w:sz w:val="22"/>
          <w:szCs w:val="22"/>
        </w:rPr>
      </w:pPr>
      <w:r w:rsidRPr="006A6909">
        <w:rPr>
          <w:rFonts w:ascii="Arial" w:hAnsi="Arial" w:cs="Arial"/>
          <w:bCs/>
          <w:sz w:val="22"/>
          <w:szCs w:val="22"/>
        </w:rPr>
        <w:t xml:space="preserve">There is an evident need for positive action, as </w:t>
      </w:r>
      <w:r w:rsidR="006A6909" w:rsidRPr="006A6909">
        <w:rPr>
          <w:rFonts w:ascii="Arial" w:hAnsi="Arial" w:cs="Arial"/>
          <w:bCs/>
          <w:sz w:val="22"/>
          <w:szCs w:val="22"/>
        </w:rPr>
        <w:t>i</w:t>
      </w:r>
      <w:r w:rsidR="006A6909">
        <w:rPr>
          <w:rFonts w:ascii="Arial" w:hAnsi="Arial" w:cs="Arial"/>
          <w:bCs/>
          <w:sz w:val="22"/>
          <w:szCs w:val="22"/>
        </w:rPr>
        <w:t xml:space="preserve">s </w:t>
      </w:r>
      <w:r w:rsidR="006A6909" w:rsidRPr="006A6909">
        <w:rPr>
          <w:rFonts w:ascii="Arial" w:hAnsi="Arial" w:cs="Arial"/>
          <w:bCs/>
          <w:sz w:val="22"/>
          <w:szCs w:val="22"/>
        </w:rPr>
        <w:t xml:space="preserve">demonstrated by the </w:t>
      </w:r>
      <w:r w:rsidR="00F81CB3">
        <w:rPr>
          <w:rFonts w:ascii="Arial" w:hAnsi="Arial" w:cs="Arial"/>
          <w:bCs/>
          <w:sz w:val="22"/>
          <w:szCs w:val="22"/>
        </w:rPr>
        <w:t xml:space="preserve">efforts other countries </w:t>
      </w:r>
      <w:r w:rsidR="00480E95">
        <w:rPr>
          <w:rFonts w:ascii="Arial" w:hAnsi="Arial" w:cs="Arial"/>
          <w:bCs/>
          <w:sz w:val="22"/>
          <w:szCs w:val="22"/>
        </w:rPr>
        <w:t>are making to attract investors</w:t>
      </w:r>
      <w:r w:rsidR="006A6909">
        <w:rPr>
          <w:rFonts w:ascii="Arial" w:hAnsi="Arial" w:cs="Arial"/>
          <w:bCs/>
          <w:sz w:val="22"/>
          <w:szCs w:val="22"/>
        </w:rPr>
        <w:t xml:space="preserve">: France, Great Britain, and, last but not least, the USA are reducing taxes and improving operating conditions for the companies that have located within their borders. </w:t>
      </w:r>
      <w:r w:rsidR="006A6909" w:rsidRPr="00415910">
        <w:rPr>
          <w:rFonts w:ascii="Arial" w:hAnsi="Arial" w:cs="Arial"/>
          <w:bCs/>
          <w:sz w:val="22"/>
          <w:szCs w:val="22"/>
        </w:rPr>
        <w:t>The overall tax burden being borne by comp</w:t>
      </w:r>
      <w:r w:rsidR="006A6909" w:rsidRPr="00415910">
        <w:rPr>
          <w:rFonts w:ascii="Arial" w:hAnsi="Arial" w:cs="Arial"/>
          <w:bCs/>
          <w:sz w:val="22"/>
          <w:szCs w:val="22"/>
        </w:rPr>
        <w:t>a</w:t>
      </w:r>
      <w:r w:rsidR="006A6909" w:rsidRPr="00415910">
        <w:rPr>
          <w:rFonts w:ascii="Arial" w:hAnsi="Arial" w:cs="Arial"/>
          <w:bCs/>
          <w:sz w:val="22"/>
          <w:szCs w:val="22"/>
        </w:rPr>
        <w:t xml:space="preserve">nies in Germany is 32 percent, which </w:t>
      </w:r>
      <w:r w:rsidR="00415910" w:rsidRPr="00415910">
        <w:rPr>
          <w:rFonts w:ascii="Arial" w:hAnsi="Arial" w:cs="Arial"/>
          <w:bCs/>
          <w:sz w:val="22"/>
          <w:szCs w:val="22"/>
        </w:rPr>
        <w:t>by international standards is extremely</w:t>
      </w:r>
      <w:r w:rsidR="009A6545">
        <w:rPr>
          <w:rFonts w:ascii="Arial" w:hAnsi="Arial" w:cs="Arial"/>
          <w:bCs/>
          <w:sz w:val="22"/>
          <w:szCs w:val="22"/>
        </w:rPr>
        <w:t xml:space="preserve"> high: t</w:t>
      </w:r>
      <w:r w:rsidR="00415910" w:rsidRPr="00415910">
        <w:rPr>
          <w:rFonts w:ascii="Arial" w:hAnsi="Arial" w:cs="Arial"/>
          <w:bCs/>
          <w:sz w:val="22"/>
          <w:szCs w:val="22"/>
        </w:rPr>
        <w:t>he average</w:t>
      </w:r>
      <w:r w:rsidR="00415910">
        <w:rPr>
          <w:rFonts w:ascii="Arial" w:hAnsi="Arial" w:cs="Arial"/>
          <w:bCs/>
          <w:sz w:val="22"/>
          <w:szCs w:val="22"/>
        </w:rPr>
        <w:t xml:space="preserve"> figure for </w:t>
      </w:r>
      <w:r w:rsidR="00415910" w:rsidRPr="00415910">
        <w:rPr>
          <w:rFonts w:ascii="Arial" w:hAnsi="Arial" w:cs="Arial"/>
          <w:bCs/>
          <w:sz w:val="22"/>
          <w:szCs w:val="22"/>
        </w:rPr>
        <w:t>the EU is just 22 perc</w:t>
      </w:r>
      <w:r w:rsidR="00415910">
        <w:rPr>
          <w:rFonts w:ascii="Arial" w:hAnsi="Arial" w:cs="Arial"/>
          <w:bCs/>
          <w:sz w:val="22"/>
          <w:szCs w:val="22"/>
        </w:rPr>
        <w:t xml:space="preserve">ent. </w:t>
      </w:r>
      <w:r w:rsidR="00415910" w:rsidRPr="00CD6789">
        <w:rPr>
          <w:rFonts w:ascii="Arial" w:hAnsi="Arial" w:cs="Arial"/>
          <w:bCs/>
          <w:sz w:val="22"/>
          <w:szCs w:val="22"/>
        </w:rPr>
        <w:t>The federal government must act if it wants to stop in</w:t>
      </w:r>
      <w:r w:rsidR="009A6545">
        <w:rPr>
          <w:rFonts w:ascii="Arial" w:hAnsi="Arial" w:cs="Arial"/>
          <w:bCs/>
          <w:sz w:val="22"/>
          <w:szCs w:val="22"/>
        </w:rPr>
        <w:t>vestment funds drifting away to</w:t>
      </w:r>
      <w:r w:rsidR="00480E95">
        <w:rPr>
          <w:rFonts w:ascii="Arial" w:hAnsi="Arial" w:cs="Arial"/>
          <w:bCs/>
          <w:sz w:val="22"/>
          <w:szCs w:val="22"/>
        </w:rPr>
        <w:t xml:space="preserve"> other countries</w:t>
      </w:r>
      <w:r w:rsidR="00415910" w:rsidRPr="00CD6789">
        <w:rPr>
          <w:rFonts w:ascii="Arial" w:hAnsi="Arial" w:cs="Arial"/>
          <w:bCs/>
          <w:sz w:val="22"/>
          <w:szCs w:val="22"/>
        </w:rPr>
        <w:t>.</w:t>
      </w:r>
      <w:r w:rsidR="009A6545">
        <w:rPr>
          <w:rFonts w:ascii="Arial" w:hAnsi="Arial" w:cs="Arial"/>
          <w:bCs/>
          <w:sz w:val="22"/>
          <w:szCs w:val="22"/>
        </w:rPr>
        <w:t xml:space="preserve"> F</w:t>
      </w:r>
      <w:r w:rsidR="00415910">
        <w:rPr>
          <w:rFonts w:ascii="Arial" w:hAnsi="Arial" w:cs="Arial"/>
          <w:bCs/>
          <w:sz w:val="22"/>
          <w:szCs w:val="22"/>
        </w:rPr>
        <w:t>iscal policy is r</w:t>
      </w:r>
      <w:r w:rsidR="00415910">
        <w:rPr>
          <w:rFonts w:ascii="Arial" w:hAnsi="Arial" w:cs="Arial"/>
          <w:bCs/>
          <w:sz w:val="22"/>
          <w:szCs w:val="22"/>
        </w:rPr>
        <w:t>e</w:t>
      </w:r>
      <w:r w:rsidR="00415910">
        <w:rPr>
          <w:rFonts w:ascii="Arial" w:hAnsi="Arial" w:cs="Arial"/>
          <w:bCs/>
          <w:sz w:val="22"/>
          <w:szCs w:val="22"/>
        </w:rPr>
        <w:lastRenderedPageBreak/>
        <w:t xml:space="preserve">gional economic policy. </w:t>
      </w:r>
      <w:r w:rsidR="009A6545">
        <w:rPr>
          <w:rFonts w:ascii="Arial" w:hAnsi="Arial" w:cs="Arial"/>
          <w:bCs/>
          <w:sz w:val="22"/>
          <w:szCs w:val="22"/>
        </w:rPr>
        <w:t>For that reason, the BDL</w:t>
      </w:r>
      <w:r w:rsidR="00415910" w:rsidRPr="00415910">
        <w:rPr>
          <w:rFonts w:ascii="Arial" w:hAnsi="Arial" w:cs="Arial"/>
          <w:bCs/>
          <w:sz w:val="22"/>
          <w:szCs w:val="22"/>
        </w:rPr>
        <w:t xml:space="preserve"> would very much like to see Ec</w:t>
      </w:r>
      <w:r w:rsidR="00415910" w:rsidRPr="00415910">
        <w:rPr>
          <w:rFonts w:ascii="Arial" w:hAnsi="Arial" w:cs="Arial"/>
          <w:bCs/>
          <w:sz w:val="22"/>
          <w:szCs w:val="22"/>
        </w:rPr>
        <w:t>o</w:t>
      </w:r>
      <w:r w:rsidR="00415910" w:rsidRPr="00415910">
        <w:rPr>
          <w:rFonts w:ascii="Arial" w:hAnsi="Arial" w:cs="Arial"/>
          <w:bCs/>
          <w:sz w:val="22"/>
          <w:szCs w:val="22"/>
        </w:rPr>
        <w:t xml:space="preserve">nomics Minister Peter </w:t>
      </w:r>
      <w:proofErr w:type="spellStart"/>
      <w:r w:rsidR="00415910" w:rsidRPr="00415910">
        <w:rPr>
          <w:rFonts w:ascii="Arial" w:hAnsi="Arial" w:cs="Arial"/>
          <w:bCs/>
          <w:sz w:val="22"/>
          <w:szCs w:val="22"/>
        </w:rPr>
        <w:t>Altmaier’s</w:t>
      </w:r>
      <w:proofErr w:type="spellEnd"/>
      <w:r w:rsidR="00415910" w:rsidRPr="00415910">
        <w:rPr>
          <w:rFonts w:ascii="Arial" w:hAnsi="Arial" w:cs="Arial"/>
          <w:bCs/>
          <w:sz w:val="22"/>
          <w:szCs w:val="22"/>
        </w:rPr>
        <w:t xml:space="preserve"> </w:t>
      </w:r>
      <w:r w:rsidR="00480E95">
        <w:rPr>
          <w:rFonts w:ascii="Arial" w:hAnsi="Arial" w:cs="Arial"/>
          <w:bCs/>
          <w:sz w:val="22"/>
          <w:szCs w:val="22"/>
        </w:rPr>
        <w:t>“</w:t>
      </w:r>
      <w:r w:rsidR="00415910" w:rsidRPr="00415910">
        <w:rPr>
          <w:rFonts w:ascii="Arial" w:hAnsi="Arial" w:cs="Arial"/>
          <w:bCs/>
          <w:sz w:val="22"/>
          <w:szCs w:val="22"/>
        </w:rPr>
        <w:t>economic policy program</w:t>
      </w:r>
      <w:r w:rsidR="00480E95">
        <w:rPr>
          <w:rFonts w:ascii="Arial" w:hAnsi="Arial" w:cs="Arial"/>
          <w:bCs/>
          <w:sz w:val="22"/>
          <w:szCs w:val="22"/>
        </w:rPr>
        <w:t>”</w:t>
      </w:r>
      <w:r w:rsidR="00415910" w:rsidRPr="00415910">
        <w:rPr>
          <w:rFonts w:ascii="Arial" w:hAnsi="Arial" w:cs="Arial"/>
          <w:bCs/>
          <w:sz w:val="22"/>
          <w:szCs w:val="22"/>
        </w:rPr>
        <w:t xml:space="preserve"> being taken seriously and implemented, says </w:t>
      </w:r>
      <w:proofErr w:type="spellStart"/>
      <w:r w:rsidR="00415910" w:rsidRPr="00415910">
        <w:rPr>
          <w:rFonts w:ascii="Arial" w:hAnsi="Arial" w:cs="Arial"/>
          <w:bCs/>
          <w:sz w:val="22"/>
          <w:szCs w:val="22"/>
        </w:rPr>
        <w:t>Ostermann</w:t>
      </w:r>
      <w:proofErr w:type="spellEnd"/>
      <w:r w:rsidR="00415910" w:rsidRPr="00415910">
        <w:rPr>
          <w:rFonts w:ascii="Arial" w:hAnsi="Arial" w:cs="Arial"/>
          <w:bCs/>
          <w:sz w:val="22"/>
          <w:szCs w:val="22"/>
        </w:rPr>
        <w:t>. This pro</w:t>
      </w:r>
      <w:r w:rsidR="00480E95">
        <w:rPr>
          <w:rFonts w:ascii="Arial" w:hAnsi="Arial" w:cs="Arial"/>
          <w:bCs/>
          <w:sz w:val="22"/>
          <w:szCs w:val="22"/>
        </w:rPr>
        <w:t>gram includes</w:t>
      </w:r>
      <w:r w:rsidR="00415910" w:rsidRPr="00415910">
        <w:rPr>
          <w:rFonts w:ascii="Arial" w:hAnsi="Arial" w:cs="Arial"/>
          <w:bCs/>
          <w:sz w:val="22"/>
          <w:szCs w:val="22"/>
        </w:rPr>
        <w:t xml:space="preserve"> a number of meaningful fisc</w:t>
      </w:r>
      <w:r w:rsidR="00415910">
        <w:rPr>
          <w:rFonts w:ascii="Arial" w:hAnsi="Arial" w:cs="Arial"/>
          <w:bCs/>
          <w:sz w:val="22"/>
          <w:szCs w:val="22"/>
        </w:rPr>
        <w:t>al policy measures, such as the scrapping of the German unification</w:t>
      </w:r>
      <w:r w:rsidR="002A493A">
        <w:rPr>
          <w:rFonts w:ascii="Arial" w:hAnsi="Arial" w:cs="Arial"/>
          <w:bCs/>
          <w:sz w:val="22"/>
          <w:szCs w:val="22"/>
        </w:rPr>
        <w:t xml:space="preserve"> solidarity surcharge and an overhaul of the rules regarding </w:t>
      </w:r>
      <w:r w:rsidR="00480E95">
        <w:rPr>
          <w:rFonts w:ascii="Arial" w:hAnsi="Arial" w:cs="Arial"/>
          <w:bCs/>
          <w:sz w:val="22"/>
          <w:szCs w:val="22"/>
        </w:rPr>
        <w:t xml:space="preserve">asset </w:t>
      </w:r>
      <w:r w:rsidR="002A493A">
        <w:rPr>
          <w:rFonts w:ascii="Arial" w:hAnsi="Arial" w:cs="Arial"/>
          <w:bCs/>
          <w:sz w:val="22"/>
          <w:szCs w:val="22"/>
        </w:rPr>
        <w:t xml:space="preserve">depreciation. There is also a need to reduce red tape. If the measures outlined in </w:t>
      </w:r>
      <w:proofErr w:type="spellStart"/>
      <w:r w:rsidR="002A493A">
        <w:rPr>
          <w:rFonts w:ascii="Arial" w:hAnsi="Arial" w:cs="Arial"/>
          <w:bCs/>
          <w:sz w:val="22"/>
          <w:szCs w:val="22"/>
        </w:rPr>
        <w:t>Altmaier’s</w:t>
      </w:r>
      <w:proofErr w:type="spellEnd"/>
      <w:r w:rsidR="002A493A">
        <w:rPr>
          <w:rFonts w:ascii="Arial" w:hAnsi="Arial" w:cs="Arial"/>
          <w:bCs/>
          <w:sz w:val="22"/>
          <w:szCs w:val="22"/>
        </w:rPr>
        <w:t xml:space="preserve"> program were set in place, the tax burden on corporate Germany would be reduced by 20 billion euro per annum.</w:t>
      </w:r>
    </w:p>
    <w:p w:rsidR="00905D80" w:rsidRPr="00905D80" w:rsidRDefault="000B63A3" w:rsidP="00905D80">
      <w:pPr>
        <w:widowControl w:val="0"/>
        <w:autoSpaceDE w:val="0"/>
        <w:autoSpaceDN w:val="0"/>
        <w:adjustRightInd w:val="0"/>
        <w:spacing w:after="120"/>
        <w:ind w:right="-2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Growth </w:t>
      </w:r>
      <w:r w:rsidR="007F5148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pportunities </w:t>
      </w:r>
      <w:proofErr w:type="gramStart"/>
      <w:r w:rsidR="007F5148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>hrough</w:t>
      </w:r>
      <w:proofErr w:type="gramEnd"/>
      <w:r>
        <w:rPr>
          <w:rFonts w:ascii="Arial" w:hAnsi="Arial" w:cs="Arial"/>
          <w:b/>
          <w:bCs/>
        </w:rPr>
        <w:t xml:space="preserve"> </w:t>
      </w:r>
      <w:r w:rsidR="007F5148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>igitalization</w:t>
      </w:r>
    </w:p>
    <w:p w:rsidR="00CD6789" w:rsidRPr="00445A21" w:rsidRDefault="00C5042E" w:rsidP="00905D80">
      <w:pPr>
        <w:widowControl w:val="0"/>
        <w:autoSpaceDE w:val="0"/>
        <w:autoSpaceDN w:val="0"/>
        <w:adjustRightInd w:val="0"/>
        <w:spacing w:after="120"/>
        <w:ind w:right="-23"/>
        <w:rPr>
          <w:rFonts w:ascii="Arial" w:hAnsi="Arial" w:cs="Arial"/>
          <w:bCs/>
          <w:sz w:val="22"/>
          <w:szCs w:val="22"/>
        </w:rPr>
      </w:pPr>
      <w:r w:rsidRPr="00CD6789">
        <w:rPr>
          <w:rFonts w:ascii="Arial" w:hAnsi="Arial" w:cs="Arial"/>
          <w:bCs/>
          <w:sz w:val="22"/>
          <w:szCs w:val="22"/>
        </w:rPr>
        <w:t>The leasing industry has identified opportunit</w:t>
      </w:r>
      <w:r w:rsidR="00CD6789">
        <w:rPr>
          <w:rFonts w:ascii="Arial" w:hAnsi="Arial" w:cs="Arial"/>
          <w:bCs/>
          <w:sz w:val="22"/>
          <w:szCs w:val="22"/>
        </w:rPr>
        <w:t>i</w:t>
      </w:r>
      <w:r w:rsidRPr="00CD6789">
        <w:rPr>
          <w:rFonts w:ascii="Arial" w:hAnsi="Arial" w:cs="Arial"/>
          <w:bCs/>
          <w:sz w:val="22"/>
          <w:szCs w:val="22"/>
        </w:rPr>
        <w:t>es for growth in the ongoing</w:t>
      </w:r>
      <w:r w:rsidR="00C47321">
        <w:rPr>
          <w:rFonts w:ascii="Arial" w:hAnsi="Arial" w:cs="Arial"/>
          <w:bCs/>
          <w:sz w:val="22"/>
          <w:szCs w:val="22"/>
        </w:rPr>
        <w:t xml:space="preserve"> process of</w:t>
      </w:r>
      <w:r w:rsidRPr="00CD6789">
        <w:rPr>
          <w:rFonts w:ascii="Arial" w:hAnsi="Arial" w:cs="Arial"/>
          <w:bCs/>
          <w:sz w:val="22"/>
          <w:szCs w:val="22"/>
        </w:rPr>
        <w:t xml:space="preserve"> digitaliza</w:t>
      </w:r>
      <w:r w:rsidR="00C47321">
        <w:rPr>
          <w:rFonts w:ascii="Arial" w:hAnsi="Arial" w:cs="Arial"/>
          <w:bCs/>
          <w:sz w:val="22"/>
          <w:szCs w:val="22"/>
        </w:rPr>
        <w:t>tion that continues to shape</w:t>
      </w:r>
      <w:r w:rsidRPr="00CD6789">
        <w:rPr>
          <w:rFonts w:ascii="Arial" w:hAnsi="Arial" w:cs="Arial"/>
          <w:bCs/>
          <w:sz w:val="22"/>
          <w:szCs w:val="22"/>
        </w:rPr>
        <w:t xml:space="preserve"> our lives. Leasing companies are indeed well placed to help </w:t>
      </w:r>
      <w:r w:rsidR="00DF6D7E" w:rsidRPr="00CD6789">
        <w:rPr>
          <w:rFonts w:ascii="Arial" w:hAnsi="Arial" w:cs="Arial"/>
          <w:bCs/>
          <w:sz w:val="22"/>
          <w:szCs w:val="22"/>
        </w:rPr>
        <w:t>their customers invest in the digital transformation process. A</w:t>
      </w:r>
      <w:r w:rsidR="00480E95">
        <w:rPr>
          <w:rFonts w:ascii="Arial" w:hAnsi="Arial" w:cs="Arial"/>
          <w:bCs/>
          <w:sz w:val="22"/>
          <w:szCs w:val="22"/>
        </w:rPr>
        <w:t xml:space="preserve"> study commissioned by the </w:t>
      </w:r>
      <w:proofErr w:type="spellStart"/>
      <w:r w:rsidR="00480E95">
        <w:rPr>
          <w:rFonts w:ascii="Arial" w:hAnsi="Arial" w:cs="Arial"/>
          <w:bCs/>
          <w:sz w:val="22"/>
          <w:szCs w:val="22"/>
        </w:rPr>
        <w:t>KfW</w:t>
      </w:r>
      <w:proofErr w:type="spellEnd"/>
      <w:r w:rsidR="00480E95">
        <w:rPr>
          <w:rFonts w:ascii="Arial" w:hAnsi="Arial" w:cs="Arial"/>
          <w:bCs/>
          <w:sz w:val="22"/>
          <w:szCs w:val="22"/>
        </w:rPr>
        <w:t xml:space="preserve"> D</w:t>
      </w:r>
      <w:r w:rsidR="00DF6D7E" w:rsidRPr="00CD6789">
        <w:rPr>
          <w:rFonts w:ascii="Arial" w:hAnsi="Arial" w:cs="Arial"/>
          <w:bCs/>
          <w:sz w:val="22"/>
          <w:szCs w:val="22"/>
        </w:rPr>
        <w:t>evel</w:t>
      </w:r>
      <w:r w:rsidR="00480E95">
        <w:rPr>
          <w:rFonts w:ascii="Arial" w:hAnsi="Arial" w:cs="Arial"/>
          <w:bCs/>
          <w:sz w:val="22"/>
          <w:szCs w:val="22"/>
        </w:rPr>
        <w:t>opment B</w:t>
      </w:r>
      <w:r w:rsidR="00DF6D7E" w:rsidRPr="00CD6789">
        <w:rPr>
          <w:rFonts w:ascii="Arial" w:hAnsi="Arial" w:cs="Arial"/>
          <w:bCs/>
          <w:sz w:val="22"/>
          <w:szCs w:val="22"/>
        </w:rPr>
        <w:t xml:space="preserve">ank shows that leasing comes in second place after cash flow as the most frequently used means of financing digitalization projects. Furthermore, </w:t>
      </w:r>
      <w:r w:rsidR="00C47321">
        <w:rPr>
          <w:rFonts w:ascii="Arial" w:hAnsi="Arial" w:cs="Arial"/>
          <w:bCs/>
          <w:sz w:val="22"/>
          <w:szCs w:val="22"/>
        </w:rPr>
        <w:t>the basic principle of leasing, which places the emphasis on</w:t>
      </w:r>
      <w:r w:rsidR="00DF6D7E" w:rsidRPr="00CD6789">
        <w:rPr>
          <w:rFonts w:ascii="Arial" w:hAnsi="Arial" w:cs="Arial"/>
          <w:bCs/>
          <w:sz w:val="22"/>
          <w:szCs w:val="22"/>
        </w:rPr>
        <w:t xml:space="preserve"> </w:t>
      </w:r>
      <w:r w:rsidR="00C47321">
        <w:rPr>
          <w:rFonts w:ascii="Arial" w:hAnsi="Arial" w:cs="Arial"/>
          <w:bCs/>
          <w:sz w:val="22"/>
          <w:szCs w:val="22"/>
        </w:rPr>
        <w:t>using</w:t>
      </w:r>
      <w:r w:rsidR="00DF6D7E" w:rsidRPr="00CD6789">
        <w:rPr>
          <w:rFonts w:ascii="Arial" w:hAnsi="Arial" w:cs="Arial"/>
          <w:bCs/>
          <w:sz w:val="22"/>
          <w:szCs w:val="22"/>
        </w:rPr>
        <w:t xml:space="preserve"> an asset rather than own</w:t>
      </w:r>
      <w:r w:rsidR="00C47321">
        <w:rPr>
          <w:rFonts w:ascii="Arial" w:hAnsi="Arial" w:cs="Arial"/>
          <w:bCs/>
          <w:sz w:val="22"/>
          <w:szCs w:val="22"/>
        </w:rPr>
        <w:t xml:space="preserve">ing it, </w:t>
      </w:r>
      <w:r w:rsidR="00CD6789" w:rsidRPr="00CD6789">
        <w:rPr>
          <w:rFonts w:ascii="Arial" w:hAnsi="Arial" w:cs="Arial"/>
          <w:bCs/>
          <w:sz w:val="22"/>
          <w:szCs w:val="22"/>
        </w:rPr>
        <w:t xml:space="preserve">has had new life breathed into it by digitalization, and it is attracting new customer groups and opening up new markets for leasing companies. </w:t>
      </w:r>
      <w:proofErr w:type="spellStart"/>
      <w:r w:rsidR="00F34C9A">
        <w:rPr>
          <w:rFonts w:ascii="Arial" w:hAnsi="Arial" w:cs="Arial"/>
          <w:bCs/>
          <w:sz w:val="22"/>
          <w:szCs w:val="22"/>
        </w:rPr>
        <w:t>Ostermann</w:t>
      </w:r>
      <w:proofErr w:type="spellEnd"/>
      <w:r w:rsidR="00F34C9A">
        <w:rPr>
          <w:rFonts w:ascii="Arial" w:hAnsi="Arial" w:cs="Arial"/>
          <w:bCs/>
          <w:sz w:val="22"/>
          <w:szCs w:val="22"/>
        </w:rPr>
        <w:t xml:space="preserve">: </w:t>
      </w:r>
      <w:r w:rsidR="00CD6789" w:rsidRPr="00A94DD6">
        <w:rPr>
          <w:rFonts w:ascii="Arial" w:hAnsi="Arial" w:cs="Arial"/>
          <w:bCs/>
          <w:sz w:val="22"/>
          <w:szCs w:val="22"/>
        </w:rPr>
        <w:t>“</w:t>
      </w:r>
      <w:r w:rsidR="00A94DD6" w:rsidRPr="00A94DD6">
        <w:rPr>
          <w:rFonts w:ascii="Arial" w:hAnsi="Arial" w:cs="Arial"/>
          <w:bCs/>
          <w:sz w:val="22"/>
          <w:szCs w:val="22"/>
        </w:rPr>
        <w:t>A new leasing era</w:t>
      </w:r>
      <w:r w:rsidR="00F34C9A">
        <w:rPr>
          <w:rFonts w:ascii="Arial" w:hAnsi="Arial" w:cs="Arial"/>
          <w:bCs/>
          <w:sz w:val="22"/>
          <w:szCs w:val="22"/>
        </w:rPr>
        <w:t xml:space="preserve"> </w:t>
      </w:r>
      <w:r w:rsidR="00CD6789" w:rsidRPr="00A94DD6">
        <w:rPr>
          <w:rFonts w:ascii="Arial" w:hAnsi="Arial" w:cs="Arial"/>
          <w:bCs/>
          <w:sz w:val="22"/>
          <w:szCs w:val="22"/>
        </w:rPr>
        <w:t>is dawning“.</w:t>
      </w:r>
    </w:p>
    <w:p w:rsidR="00233AD7" w:rsidRPr="00590E4A" w:rsidRDefault="00CD6789" w:rsidP="00905D80">
      <w:pPr>
        <w:spacing w:after="200"/>
        <w:rPr>
          <w:rFonts w:ascii="Arial" w:hAnsi="Arial" w:cs="Arial"/>
          <w:bCs/>
          <w:sz w:val="22"/>
          <w:szCs w:val="22"/>
        </w:rPr>
      </w:pPr>
      <w:r w:rsidRPr="00A94DD6">
        <w:rPr>
          <w:rFonts w:ascii="Arial" w:hAnsi="Arial" w:cs="Arial"/>
          <w:bCs/>
          <w:sz w:val="22"/>
          <w:szCs w:val="22"/>
        </w:rPr>
        <w:t xml:space="preserve">Digitalization is proving to be a driver of leasing-friendly billing based on usage, for </w:t>
      </w:r>
      <w:r w:rsidR="00C47321" w:rsidRPr="00A94DD6">
        <w:rPr>
          <w:rFonts w:ascii="Arial" w:hAnsi="Arial" w:cs="Arial"/>
          <w:bCs/>
          <w:sz w:val="22"/>
          <w:szCs w:val="22"/>
        </w:rPr>
        <w:t>the acquisition and exchang</w:t>
      </w:r>
      <w:r w:rsidR="00C47321">
        <w:rPr>
          <w:rFonts w:ascii="Arial" w:hAnsi="Arial" w:cs="Arial"/>
          <w:bCs/>
          <w:sz w:val="22"/>
          <w:szCs w:val="22"/>
        </w:rPr>
        <w:t xml:space="preserve">e of usage-based data in </w:t>
      </w:r>
      <w:proofErr w:type="gramStart"/>
      <w:r w:rsidR="00C47321">
        <w:rPr>
          <w:rFonts w:ascii="Arial" w:hAnsi="Arial" w:cs="Arial"/>
          <w:bCs/>
          <w:sz w:val="22"/>
          <w:szCs w:val="22"/>
        </w:rPr>
        <w:t>themselves</w:t>
      </w:r>
      <w:proofErr w:type="gramEnd"/>
      <w:r w:rsidR="00C47321">
        <w:rPr>
          <w:rFonts w:ascii="Arial" w:hAnsi="Arial" w:cs="Arial"/>
          <w:bCs/>
          <w:sz w:val="22"/>
          <w:szCs w:val="22"/>
        </w:rPr>
        <w:t xml:space="preserve"> </w:t>
      </w:r>
      <w:r w:rsidR="0001184A">
        <w:rPr>
          <w:rFonts w:ascii="Arial" w:hAnsi="Arial" w:cs="Arial"/>
          <w:bCs/>
          <w:sz w:val="22"/>
          <w:szCs w:val="22"/>
        </w:rPr>
        <w:t>are promoting</w:t>
      </w:r>
      <w:r w:rsidR="00A94DD6" w:rsidRPr="00A94DD6">
        <w:rPr>
          <w:rFonts w:ascii="Arial" w:hAnsi="Arial" w:cs="Arial"/>
          <w:bCs/>
          <w:sz w:val="22"/>
          <w:szCs w:val="22"/>
        </w:rPr>
        <w:t xml:space="preserve"> ne</w:t>
      </w:r>
      <w:r w:rsidR="00C47321">
        <w:rPr>
          <w:rFonts w:ascii="Arial" w:hAnsi="Arial" w:cs="Arial"/>
          <w:bCs/>
          <w:sz w:val="22"/>
          <w:szCs w:val="22"/>
        </w:rPr>
        <w:t>w financing and service models.</w:t>
      </w:r>
      <w:r w:rsidR="00A94DD6" w:rsidRPr="00A94DD6">
        <w:rPr>
          <w:rFonts w:ascii="Arial" w:hAnsi="Arial" w:cs="Arial"/>
          <w:bCs/>
          <w:sz w:val="22"/>
          <w:szCs w:val="22"/>
        </w:rPr>
        <w:t xml:space="preserve"> </w:t>
      </w:r>
      <w:r w:rsidR="0065633B">
        <w:rPr>
          <w:rFonts w:ascii="Arial" w:hAnsi="Arial" w:cs="Arial"/>
          <w:bCs/>
          <w:sz w:val="22"/>
          <w:szCs w:val="22"/>
        </w:rPr>
        <w:t xml:space="preserve">What </w:t>
      </w:r>
      <w:r w:rsidR="00A94DD6" w:rsidRPr="00A94DD6">
        <w:rPr>
          <w:rFonts w:ascii="Arial" w:hAnsi="Arial" w:cs="Arial"/>
          <w:bCs/>
          <w:sz w:val="22"/>
          <w:szCs w:val="22"/>
        </w:rPr>
        <w:t>leasing customer</w:t>
      </w:r>
      <w:r w:rsidR="0065633B">
        <w:rPr>
          <w:rFonts w:ascii="Arial" w:hAnsi="Arial" w:cs="Arial"/>
          <w:bCs/>
          <w:sz w:val="22"/>
          <w:szCs w:val="22"/>
        </w:rPr>
        <w:t>s pay</w:t>
      </w:r>
      <w:r w:rsidR="00A94DD6" w:rsidRPr="00A94DD6">
        <w:rPr>
          <w:rFonts w:ascii="Arial" w:hAnsi="Arial" w:cs="Arial"/>
          <w:bCs/>
          <w:sz w:val="22"/>
          <w:szCs w:val="22"/>
        </w:rPr>
        <w:t xml:space="preserve"> depends on how much </w:t>
      </w:r>
      <w:r w:rsidR="0065633B">
        <w:rPr>
          <w:rFonts w:ascii="Arial" w:hAnsi="Arial" w:cs="Arial"/>
          <w:bCs/>
          <w:sz w:val="22"/>
          <w:szCs w:val="22"/>
        </w:rPr>
        <w:t>t</w:t>
      </w:r>
      <w:r w:rsidR="00A94DD6" w:rsidRPr="00A94DD6">
        <w:rPr>
          <w:rFonts w:ascii="Arial" w:hAnsi="Arial" w:cs="Arial"/>
          <w:bCs/>
          <w:sz w:val="22"/>
          <w:szCs w:val="22"/>
        </w:rPr>
        <w:t>he</w:t>
      </w:r>
      <w:r w:rsidR="0065633B">
        <w:rPr>
          <w:rFonts w:ascii="Arial" w:hAnsi="Arial" w:cs="Arial"/>
          <w:bCs/>
          <w:sz w:val="22"/>
          <w:szCs w:val="22"/>
        </w:rPr>
        <w:t>y use</w:t>
      </w:r>
      <w:r w:rsidR="00A94DD6" w:rsidRPr="00A94DD6">
        <w:rPr>
          <w:rFonts w:ascii="Arial" w:hAnsi="Arial" w:cs="Arial"/>
          <w:bCs/>
          <w:sz w:val="22"/>
          <w:szCs w:val="22"/>
        </w:rPr>
        <w:t xml:space="preserve"> the asset in</w:t>
      </w:r>
      <w:r w:rsidR="00A94DD6">
        <w:rPr>
          <w:rFonts w:ascii="Arial" w:hAnsi="Arial" w:cs="Arial"/>
          <w:bCs/>
          <w:sz w:val="22"/>
          <w:szCs w:val="22"/>
        </w:rPr>
        <w:t xml:space="preserve"> question. </w:t>
      </w:r>
      <w:r w:rsidR="00905D80" w:rsidRPr="00A94DD6">
        <w:rPr>
          <w:rFonts w:ascii="Arial" w:hAnsi="Arial" w:cs="Arial"/>
          <w:bCs/>
          <w:sz w:val="22"/>
          <w:szCs w:val="22"/>
        </w:rPr>
        <w:t xml:space="preserve"> </w:t>
      </w:r>
      <w:r w:rsidR="0065633B">
        <w:rPr>
          <w:rFonts w:ascii="Arial" w:hAnsi="Arial" w:cs="Arial"/>
          <w:bCs/>
          <w:sz w:val="22"/>
          <w:szCs w:val="22"/>
        </w:rPr>
        <w:t>In other words</w:t>
      </w:r>
      <w:r w:rsidR="00A94DD6" w:rsidRPr="00A94DD6">
        <w:rPr>
          <w:rFonts w:ascii="Arial" w:hAnsi="Arial" w:cs="Arial"/>
          <w:bCs/>
          <w:sz w:val="22"/>
          <w:szCs w:val="22"/>
        </w:rPr>
        <w:t>, the principle that applies for copying machines can</w:t>
      </w:r>
      <w:r w:rsidR="00A94DD6">
        <w:rPr>
          <w:rFonts w:ascii="Arial" w:hAnsi="Arial" w:cs="Arial"/>
          <w:bCs/>
          <w:sz w:val="22"/>
          <w:szCs w:val="22"/>
        </w:rPr>
        <w:t xml:space="preserve"> also</w:t>
      </w:r>
      <w:r w:rsidR="00A94DD6" w:rsidRPr="00A94DD6">
        <w:rPr>
          <w:rFonts w:ascii="Arial" w:hAnsi="Arial" w:cs="Arial"/>
          <w:bCs/>
          <w:sz w:val="22"/>
          <w:szCs w:val="22"/>
        </w:rPr>
        <w:t xml:space="preserve"> be a</w:t>
      </w:r>
      <w:r w:rsidR="00A94DD6">
        <w:rPr>
          <w:rFonts w:ascii="Arial" w:hAnsi="Arial" w:cs="Arial"/>
          <w:bCs/>
          <w:sz w:val="22"/>
          <w:szCs w:val="22"/>
        </w:rPr>
        <w:t>pplied to other investment objects</w:t>
      </w:r>
      <w:r w:rsidR="00905D80" w:rsidRPr="00A94DD6">
        <w:rPr>
          <w:rFonts w:ascii="Arial" w:hAnsi="Arial" w:cs="Arial"/>
          <w:bCs/>
          <w:sz w:val="22"/>
          <w:szCs w:val="22"/>
        </w:rPr>
        <w:t xml:space="preserve">, </w:t>
      </w:r>
      <w:r w:rsidR="00A94DD6">
        <w:rPr>
          <w:rFonts w:ascii="Arial" w:hAnsi="Arial" w:cs="Arial"/>
          <w:bCs/>
          <w:sz w:val="22"/>
          <w:szCs w:val="22"/>
        </w:rPr>
        <w:t>and in a wide range of industrial and commercial sectors.</w:t>
      </w:r>
      <w:r w:rsidR="0001184A">
        <w:rPr>
          <w:rFonts w:ascii="Arial" w:hAnsi="Arial" w:cs="Arial"/>
          <w:bCs/>
          <w:sz w:val="22"/>
          <w:szCs w:val="22"/>
        </w:rPr>
        <w:t xml:space="preserve"> The user</w:t>
      </w:r>
      <w:r w:rsidR="00590E4A" w:rsidRPr="00590E4A">
        <w:rPr>
          <w:rFonts w:ascii="Arial" w:hAnsi="Arial" w:cs="Arial"/>
          <w:bCs/>
          <w:sz w:val="22"/>
          <w:szCs w:val="22"/>
        </w:rPr>
        <w:t xml:space="preserve"> </w:t>
      </w:r>
      <w:r w:rsidR="00590E4A">
        <w:rPr>
          <w:rFonts w:ascii="Arial" w:hAnsi="Arial" w:cs="Arial"/>
          <w:bCs/>
          <w:sz w:val="22"/>
          <w:szCs w:val="22"/>
        </w:rPr>
        <w:t>“</w:t>
      </w:r>
      <w:r w:rsidR="00590E4A" w:rsidRPr="00590E4A">
        <w:rPr>
          <w:rFonts w:ascii="Arial" w:hAnsi="Arial" w:cs="Arial"/>
          <w:bCs/>
          <w:sz w:val="22"/>
          <w:szCs w:val="22"/>
        </w:rPr>
        <w:t>pay</w:t>
      </w:r>
      <w:r w:rsidR="0001184A">
        <w:rPr>
          <w:rFonts w:ascii="Arial" w:hAnsi="Arial" w:cs="Arial"/>
          <w:bCs/>
          <w:sz w:val="22"/>
          <w:szCs w:val="22"/>
        </w:rPr>
        <w:t>s</w:t>
      </w:r>
      <w:r w:rsidR="00590E4A" w:rsidRPr="00590E4A">
        <w:rPr>
          <w:rFonts w:ascii="Arial" w:hAnsi="Arial" w:cs="Arial"/>
          <w:bCs/>
          <w:sz w:val="22"/>
          <w:szCs w:val="22"/>
        </w:rPr>
        <w:t xml:space="preserve"> per use</w:t>
      </w:r>
      <w:r w:rsidR="00590E4A">
        <w:rPr>
          <w:rFonts w:ascii="Arial" w:hAnsi="Arial" w:cs="Arial"/>
          <w:bCs/>
          <w:sz w:val="22"/>
          <w:szCs w:val="22"/>
        </w:rPr>
        <w:t>” of the</w:t>
      </w:r>
      <w:r w:rsidR="00590E4A" w:rsidRPr="00590E4A">
        <w:rPr>
          <w:rFonts w:ascii="Arial" w:hAnsi="Arial" w:cs="Arial"/>
          <w:bCs/>
          <w:sz w:val="22"/>
          <w:szCs w:val="22"/>
        </w:rPr>
        <w:t xml:space="preserve"> com</w:t>
      </w:r>
      <w:r w:rsidR="00590E4A">
        <w:rPr>
          <w:rFonts w:ascii="Arial" w:hAnsi="Arial" w:cs="Arial"/>
          <w:bCs/>
          <w:sz w:val="22"/>
          <w:szCs w:val="22"/>
        </w:rPr>
        <w:t xml:space="preserve">modities or services in question, </w:t>
      </w:r>
      <w:proofErr w:type="gramStart"/>
      <w:r w:rsidR="00590E4A">
        <w:rPr>
          <w:rFonts w:ascii="Arial" w:hAnsi="Arial" w:cs="Arial"/>
          <w:bCs/>
          <w:sz w:val="22"/>
          <w:szCs w:val="22"/>
        </w:rPr>
        <w:t>be</w:t>
      </w:r>
      <w:proofErr w:type="gramEnd"/>
      <w:r w:rsidR="00590E4A">
        <w:rPr>
          <w:rFonts w:ascii="Arial" w:hAnsi="Arial" w:cs="Arial"/>
          <w:bCs/>
          <w:sz w:val="22"/>
          <w:szCs w:val="22"/>
        </w:rPr>
        <w:t xml:space="preserve"> they operating hours, copies, scans or Cloud Storage bytes. </w:t>
      </w:r>
      <w:r w:rsidR="00905D80" w:rsidRPr="00590E4A">
        <w:rPr>
          <w:rFonts w:ascii="Arial" w:hAnsi="Arial" w:cs="Arial"/>
          <w:bCs/>
          <w:sz w:val="22"/>
          <w:szCs w:val="22"/>
        </w:rPr>
        <w:t xml:space="preserve"> </w:t>
      </w:r>
      <w:r w:rsidR="00590E4A" w:rsidRPr="00590E4A">
        <w:rPr>
          <w:rFonts w:ascii="Arial" w:hAnsi="Arial" w:cs="Arial"/>
          <w:bCs/>
          <w:sz w:val="22"/>
          <w:szCs w:val="22"/>
        </w:rPr>
        <w:t xml:space="preserve">This </w:t>
      </w:r>
      <w:r w:rsidR="00590E4A">
        <w:rPr>
          <w:rFonts w:ascii="Arial" w:hAnsi="Arial" w:cs="Arial"/>
          <w:bCs/>
          <w:sz w:val="22"/>
          <w:szCs w:val="22"/>
        </w:rPr>
        <w:t xml:space="preserve">not only </w:t>
      </w:r>
      <w:r w:rsidR="00590E4A" w:rsidRPr="00590E4A">
        <w:rPr>
          <w:rFonts w:ascii="Arial" w:hAnsi="Arial" w:cs="Arial"/>
          <w:bCs/>
          <w:sz w:val="22"/>
          <w:szCs w:val="22"/>
        </w:rPr>
        <w:t>frees</w:t>
      </w:r>
      <w:r w:rsidR="0065633B">
        <w:rPr>
          <w:rFonts w:ascii="Arial" w:hAnsi="Arial" w:cs="Arial"/>
          <w:bCs/>
          <w:sz w:val="22"/>
          <w:szCs w:val="22"/>
        </w:rPr>
        <w:t xml:space="preserve"> up capital, but also save</w:t>
      </w:r>
      <w:r w:rsidR="00466FBB">
        <w:rPr>
          <w:rFonts w:ascii="Arial" w:hAnsi="Arial" w:cs="Arial"/>
          <w:bCs/>
          <w:sz w:val="22"/>
          <w:szCs w:val="22"/>
        </w:rPr>
        <w:t>s on</w:t>
      </w:r>
      <w:r w:rsidR="00590E4A" w:rsidRPr="00590E4A">
        <w:rPr>
          <w:rFonts w:ascii="Arial" w:hAnsi="Arial" w:cs="Arial"/>
          <w:bCs/>
          <w:sz w:val="22"/>
          <w:szCs w:val="22"/>
        </w:rPr>
        <w:t xml:space="preserve"> acquis</w:t>
      </w:r>
      <w:r w:rsidR="00590E4A">
        <w:rPr>
          <w:rFonts w:ascii="Arial" w:hAnsi="Arial" w:cs="Arial"/>
          <w:bCs/>
          <w:sz w:val="22"/>
          <w:szCs w:val="22"/>
        </w:rPr>
        <w:t>i</w:t>
      </w:r>
      <w:r w:rsidR="00590E4A" w:rsidRPr="00590E4A">
        <w:rPr>
          <w:rFonts w:ascii="Arial" w:hAnsi="Arial" w:cs="Arial"/>
          <w:bCs/>
          <w:sz w:val="22"/>
          <w:szCs w:val="22"/>
        </w:rPr>
        <w:t>tion and running cost</w:t>
      </w:r>
      <w:r w:rsidR="00590E4A">
        <w:rPr>
          <w:rFonts w:ascii="Arial" w:hAnsi="Arial" w:cs="Arial"/>
          <w:bCs/>
          <w:sz w:val="22"/>
          <w:szCs w:val="22"/>
        </w:rPr>
        <w:t>s.</w:t>
      </w:r>
      <w:r w:rsidR="00905D80" w:rsidRPr="00590E4A">
        <w:rPr>
          <w:rFonts w:ascii="Arial" w:hAnsi="Arial" w:cs="Arial"/>
          <w:bCs/>
          <w:sz w:val="22"/>
          <w:szCs w:val="22"/>
        </w:rPr>
        <w:t xml:space="preserve"> </w:t>
      </w:r>
    </w:p>
    <w:p w:rsidR="00E162FF" w:rsidRPr="00417252" w:rsidRDefault="00417252" w:rsidP="00905D80">
      <w:pPr>
        <w:spacing w:after="20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Big data and l</w:t>
      </w:r>
      <w:r w:rsidR="00E413F6">
        <w:rPr>
          <w:rFonts w:ascii="Arial" w:hAnsi="Arial" w:cs="Arial"/>
          <w:bCs/>
          <w:sz w:val="22"/>
          <w:szCs w:val="22"/>
        </w:rPr>
        <w:t xml:space="preserve">easing </w:t>
      </w:r>
      <w:r>
        <w:rPr>
          <w:rFonts w:ascii="Arial" w:hAnsi="Arial" w:cs="Arial"/>
          <w:bCs/>
          <w:sz w:val="22"/>
          <w:szCs w:val="22"/>
        </w:rPr>
        <w:t>can thus combine to create genuine added value for the cu</w:t>
      </w:r>
      <w:r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>tomer</w:t>
      </w:r>
      <w:r w:rsidR="00E413F6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5633B">
        <w:rPr>
          <w:rFonts w:ascii="Arial" w:hAnsi="Arial" w:cs="Arial"/>
          <w:bCs/>
          <w:sz w:val="22"/>
          <w:szCs w:val="22"/>
        </w:rPr>
        <w:t>“But to achieve</w:t>
      </w:r>
      <w:r w:rsidRPr="00417252">
        <w:rPr>
          <w:rFonts w:ascii="Arial" w:hAnsi="Arial" w:cs="Arial"/>
          <w:bCs/>
          <w:sz w:val="22"/>
          <w:szCs w:val="22"/>
        </w:rPr>
        <w:t xml:space="preserve"> this</w:t>
      </w:r>
      <w:r w:rsidR="0065633B">
        <w:rPr>
          <w:rFonts w:ascii="Arial" w:hAnsi="Arial" w:cs="Arial"/>
          <w:bCs/>
          <w:sz w:val="22"/>
          <w:szCs w:val="22"/>
        </w:rPr>
        <w:t>”, say</w:t>
      </w:r>
      <w:r w:rsidR="008D1233">
        <w:rPr>
          <w:rFonts w:ascii="Arial" w:hAnsi="Arial" w:cs="Arial"/>
          <w:bCs/>
          <w:sz w:val="22"/>
          <w:szCs w:val="22"/>
        </w:rPr>
        <w:t>s the BDL President, “</w:t>
      </w:r>
      <w:proofErr w:type="gramStart"/>
      <w:r w:rsidRPr="00417252">
        <w:rPr>
          <w:rFonts w:ascii="Arial" w:hAnsi="Arial" w:cs="Arial"/>
          <w:bCs/>
          <w:sz w:val="22"/>
          <w:szCs w:val="22"/>
        </w:rPr>
        <w:t>we</w:t>
      </w:r>
      <w:proofErr w:type="gramEnd"/>
      <w:r w:rsidRPr="00417252">
        <w:rPr>
          <w:rFonts w:ascii="Arial" w:hAnsi="Arial" w:cs="Arial"/>
          <w:bCs/>
          <w:sz w:val="22"/>
          <w:szCs w:val="22"/>
        </w:rPr>
        <w:t xml:space="preserve"> need reliable framework conditions for the interchange of data</w:t>
      </w:r>
      <w:r w:rsidR="0065633B">
        <w:rPr>
          <w:rFonts w:ascii="Arial" w:hAnsi="Arial" w:cs="Arial"/>
          <w:bCs/>
          <w:sz w:val="22"/>
          <w:szCs w:val="22"/>
        </w:rPr>
        <w:t>. O</w:t>
      </w:r>
      <w:r w:rsidRPr="00417252">
        <w:rPr>
          <w:rFonts w:ascii="Arial" w:hAnsi="Arial" w:cs="Arial"/>
          <w:bCs/>
          <w:sz w:val="22"/>
          <w:szCs w:val="22"/>
        </w:rPr>
        <w:t>n the o</w:t>
      </w:r>
      <w:r w:rsidR="008D1233">
        <w:rPr>
          <w:rFonts w:ascii="Arial" w:hAnsi="Arial" w:cs="Arial"/>
          <w:bCs/>
          <w:sz w:val="22"/>
          <w:szCs w:val="22"/>
        </w:rPr>
        <w:t>ne hand</w:t>
      </w:r>
      <w:r w:rsidR="00466FBB">
        <w:rPr>
          <w:rFonts w:ascii="Arial" w:hAnsi="Arial" w:cs="Arial"/>
          <w:bCs/>
          <w:sz w:val="22"/>
          <w:szCs w:val="22"/>
        </w:rPr>
        <w:t>,</w:t>
      </w:r>
      <w:r w:rsidR="008D1233">
        <w:rPr>
          <w:rFonts w:ascii="Arial" w:hAnsi="Arial" w:cs="Arial"/>
          <w:bCs/>
          <w:sz w:val="22"/>
          <w:szCs w:val="22"/>
        </w:rPr>
        <w:t xml:space="preserve"> </w:t>
      </w:r>
      <w:r w:rsidR="0065633B">
        <w:rPr>
          <w:rFonts w:ascii="Arial" w:hAnsi="Arial" w:cs="Arial"/>
          <w:bCs/>
          <w:sz w:val="22"/>
          <w:szCs w:val="22"/>
        </w:rPr>
        <w:t xml:space="preserve">that means </w:t>
      </w:r>
      <w:r w:rsidR="008D1233">
        <w:rPr>
          <w:rFonts w:ascii="Arial" w:hAnsi="Arial" w:cs="Arial"/>
          <w:bCs/>
          <w:sz w:val="22"/>
          <w:szCs w:val="22"/>
        </w:rPr>
        <w:t>creating</w:t>
      </w:r>
      <w:r w:rsidRPr="00417252">
        <w:rPr>
          <w:rFonts w:ascii="Arial" w:hAnsi="Arial" w:cs="Arial"/>
          <w:bCs/>
          <w:sz w:val="22"/>
          <w:szCs w:val="22"/>
        </w:rPr>
        <w:t xml:space="preserve"> an i</w:t>
      </w:r>
      <w:r w:rsidRPr="00417252">
        <w:rPr>
          <w:rFonts w:ascii="Arial" w:hAnsi="Arial" w:cs="Arial"/>
          <w:bCs/>
          <w:sz w:val="22"/>
          <w:szCs w:val="22"/>
        </w:rPr>
        <w:t>n</w:t>
      </w:r>
      <w:r w:rsidRPr="00417252">
        <w:rPr>
          <w:rFonts w:ascii="Arial" w:hAnsi="Arial" w:cs="Arial"/>
          <w:bCs/>
          <w:sz w:val="22"/>
          <w:szCs w:val="22"/>
        </w:rPr>
        <w:t>frastr</w:t>
      </w:r>
      <w:r>
        <w:rPr>
          <w:rFonts w:ascii="Arial" w:hAnsi="Arial" w:cs="Arial"/>
          <w:bCs/>
          <w:sz w:val="22"/>
          <w:szCs w:val="22"/>
        </w:rPr>
        <w:t>ucture capable of guaranteeing the stable exchange of enormous quantities of data in real time, and</w:t>
      </w:r>
      <w:r w:rsidR="008D1233">
        <w:rPr>
          <w:rFonts w:ascii="Arial" w:hAnsi="Arial" w:cs="Arial"/>
          <w:bCs/>
          <w:sz w:val="22"/>
          <w:szCs w:val="22"/>
        </w:rPr>
        <w:t>, on the other, devising</w:t>
      </w:r>
      <w:r>
        <w:rPr>
          <w:rFonts w:ascii="Arial" w:hAnsi="Arial" w:cs="Arial"/>
          <w:bCs/>
          <w:sz w:val="22"/>
          <w:szCs w:val="22"/>
        </w:rPr>
        <w:t xml:space="preserve"> a legal framework </w:t>
      </w:r>
      <w:r w:rsidR="008D1233">
        <w:rPr>
          <w:rFonts w:ascii="Arial" w:hAnsi="Arial" w:cs="Arial"/>
          <w:bCs/>
          <w:sz w:val="22"/>
          <w:szCs w:val="22"/>
        </w:rPr>
        <w:t>to regulate questions of copyright, data protection and liability”.</w:t>
      </w:r>
    </w:p>
    <w:tbl>
      <w:tblPr>
        <w:tblStyle w:val="TabelleRaster8"/>
        <w:tblW w:w="8222" w:type="dxa"/>
        <w:tblInd w:w="108" w:type="dxa"/>
        <w:tblLook w:val="04A0" w:firstRow="1" w:lastRow="0" w:firstColumn="1" w:lastColumn="0" w:noHBand="0" w:noVBand="1"/>
      </w:tblPr>
      <w:tblGrid>
        <w:gridCol w:w="3969"/>
        <w:gridCol w:w="4253"/>
      </w:tblGrid>
      <w:tr w:rsidR="00DC300B" w:rsidRPr="008D1233" w:rsidTr="006804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22" w:type="dxa"/>
            <w:gridSpan w:val="2"/>
          </w:tcPr>
          <w:p w:rsidR="00DC300B" w:rsidRPr="008D1233" w:rsidRDefault="00382C11" w:rsidP="00A73CE2">
            <w:pPr>
              <w:spacing w:after="120"/>
              <w:ind w:right="-28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Overview of the Leasing M</w:t>
            </w:r>
            <w:r w:rsidR="00DC300B" w:rsidRPr="008D1233">
              <w:rPr>
                <w:rFonts w:ascii="Arial" w:hAnsi="Arial" w:cs="Arial"/>
                <w:i/>
                <w:sz w:val="20"/>
              </w:rPr>
              <w:t>ark</w:t>
            </w:r>
            <w:r w:rsidR="008D1233" w:rsidRPr="008D1233">
              <w:rPr>
                <w:rFonts w:ascii="Arial" w:hAnsi="Arial" w:cs="Arial"/>
                <w:i/>
                <w:sz w:val="20"/>
              </w:rPr>
              <w:t>e</w:t>
            </w:r>
            <w:r w:rsidR="00DC300B" w:rsidRPr="008D1233">
              <w:rPr>
                <w:rFonts w:ascii="Arial" w:hAnsi="Arial" w:cs="Arial"/>
                <w:i/>
                <w:sz w:val="20"/>
              </w:rPr>
              <w:t>t</w:t>
            </w:r>
            <w:r w:rsidR="008D1233" w:rsidRPr="008D1233">
              <w:rPr>
                <w:rFonts w:ascii="Arial" w:hAnsi="Arial" w:cs="Arial"/>
                <w:i/>
                <w:sz w:val="20"/>
              </w:rPr>
              <w:t xml:space="preserve"> in </w:t>
            </w:r>
            <w:r w:rsidR="00DC300B" w:rsidRPr="008D1233">
              <w:rPr>
                <w:rFonts w:ascii="Arial" w:hAnsi="Arial" w:cs="Arial"/>
                <w:i/>
                <w:sz w:val="20"/>
              </w:rPr>
              <w:t>201</w:t>
            </w:r>
            <w:r w:rsidR="00A73CE2" w:rsidRPr="008D1233">
              <w:rPr>
                <w:rFonts w:ascii="Arial" w:hAnsi="Arial" w:cs="Arial"/>
                <w:i/>
                <w:sz w:val="20"/>
              </w:rPr>
              <w:t>8</w:t>
            </w:r>
            <w:r w:rsidR="008D1233" w:rsidRPr="008D1233">
              <w:rPr>
                <w:rFonts w:ascii="Arial" w:hAnsi="Arial" w:cs="Arial"/>
                <w:i/>
                <w:sz w:val="20"/>
              </w:rPr>
              <w:t xml:space="preserve"> </w:t>
            </w:r>
            <w:r w:rsidR="00A73CE2" w:rsidRPr="008D1233">
              <w:rPr>
                <w:rFonts w:ascii="Arial" w:hAnsi="Arial" w:cs="Arial"/>
                <w:i/>
                <w:sz w:val="16"/>
              </w:rPr>
              <w:t>[</w:t>
            </w:r>
            <w:r>
              <w:rPr>
                <w:rFonts w:ascii="Arial" w:hAnsi="Arial" w:cs="Arial"/>
                <w:i/>
                <w:sz w:val="16"/>
              </w:rPr>
              <w:t>P</w:t>
            </w:r>
            <w:r w:rsidR="008D1233" w:rsidRPr="008D1233">
              <w:rPr>
                <w:rFonts w:ascii="Arial" w:hAnsi="Arial" w:cs="Arial"/>
                <w:i/>
                <w:sz w:val="16"/>
              </w:rPr>
              <w:t>rojectio</w:t>
            </w:r>
            <w:r w:rsidR="00DC300B" w:rsidRPr="008D1233">
              <w:rPr>
                <w:rFonts w:ascii="Arial" w:hAnsi="Arial" w:cs="Arial"/>
                <w:i/>
                <w:sz w:val="16"/>
              </w:rPr>
              <w:t>n</w:t>
            </w:r>
            <w:r w:rsidR="008D1233" w:rsidRPr="008D1233">
              <w:rPr>
                <w:rFonts w:ascii="Arial" w:hAnsi="Arial" w:cs="Arial"/>
                <w:i/>
                <w:sz w:val="16"/>
              </w:rPr>
              <w:t>s</w:t>
            </w:r>
            <w:r w:rsidR="00A73CE2" w:rsidRPr="008D1233">
              <w:rPr>
                <w:rFonts w:ascii="Arial" w:hAnsi="Arial" w:cs="Arial"/>
                <w:i/>
                <w:sz w:val="16"/>
              </w:rPr>
              <w:t>]</w:t>
            </w:r>
          </w:p>
        </w:tc>
      </w:tr>
      <w:tr w:rsidR="00A03F13" w:rsidTr="006804FD">
        <w:trPr>
          <w:trHeight w:val="290"/>
        </w:trPr>
        <w:tc>
          <w:tcPr>
            <w:tcW w:w="3969" w:type="dxa"/>
            <w:shd w:val="clear" w:color="auto" w:fill="DBE5F1" w:themeFill="accent1" w:themeFillTint="33"/>
            <w:vAlign w:val="center"/>
          </w:tcPr>
          <w:p w:rsidR="00A03F13" w:rsidRDefault="008D1233" w:rsidP="003F6556">
            <w:pPr>
              <w:spacing w:after="120"/>
              <w:ind w:right="-2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 leasing and hire-purchase business</w:t>
            </w:r>
            <w:r w:rsidR="00A73CE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253" w:type="dxa"/>
            <w:shd w:val="clear" w:color="auto" w:fill="DBE5F1" w:themeFill="accent1" w:themeFillTint="33"/>
            <w:vAlign w:val="center"/>
          </w:tcPr>
          <w:p w:rsidR="00A03F13" w:rsidRPr="00625AC5" w:rsidRDefault="008D1233" w:rsidP="006804FD">
            <w:pPr>
              <w:spacing w:after="60"/>
              <w:ind w:right="1419" w:firstLine="19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69.</w:t>
            </w:r>
            <w:r w:rsidR="00A73CE2">
              <w:rPr>
                <w:rFonts w:ascii="Arial" w:hAnsi="Arial" w:cs="Arial"/>
                <w:sz w:val="20"/>
              </w:rPr>
              <w:t>7</w:t>
            </w:r>
            <w:r w:rsidR="00A03F13" w:rsidRPr="00625AC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billion</w:t>
            </w:r>
            <w:r w:rsidR="00382C11">
              <w:rPr>
                <w:rFonts w:ascii="Arial" w:hAnsi="Arial" w:cs="Arial"/>
                <w:sz w:val="20"/>
              </w:rPr>
              <w:t xml:space="preserve"> e</w:t>
            </w:r>
            <w:r w:rsidR="00A03F13" w:rsidRPr="00625AC5">
              <w:rPr>
                <w:rFonts w:ascii="Arial" w:hAnsi="Arial" w:cs="Arial"/>
                <w:sz w:val="20"/>
              </w:rPr>
              <w:t>uro (</w:t>
            </w:r>
            <w:r w:rsidR="0093308D">
              <w:rPr>
                <w:rFonts w:ascii="Arial" w:hAnsi="Arial" w:cs="Arial"/>
                <w:sz w:val="20"/>
              </w:rPr>
              <w:t>+</w:t>
            </w:r>
            <w:r w:rsidR="00637E45">
              <w:rPr>
                <w:rFonts w:ascii="Arial" w:hAnsi="Arial" w:cs="Arial"/>
                <w:sz w:val="20"/>
              </w:rPr>
              <w:t>4.</w:t>
            </w:r>
            <w:r w:rsidR="00A73CE2">
              <w:rPr>
                <w:rFonts w:ascii="Arial" w:hAnsi="Arial" w:cs="Arial"/>
                <w:sz w:val="20"/>
              </w:rPr>
              <w:t>5</w:t>
            </w:r>
            <w:r w:rsidR="00A03F13" w:rsidRPr="00625AC5">
              <w:rPr>
                <w:rFonts w:ascii="Arial" w:hAnsi="Arial" w:cs="Arial"/>
                <w:sz w:val="20"/>
              </w:rPr>
              <w:t xml:space="preserve"> %)</w:t>
            </w:r>
          </w:p>
        </w:tc>
      </w:tr>
      <w:tr w:rsidR="00A03F13" w:rsidTr="006804FD">
        <w:trPr>
          <w:trHeight w:val="352"/>
        </w:trPr>
        <w:tc>
          <w:tcPr>
            <w:tcW w:w="3969" w:type="dxa"/>
            <w:shd w:val="clear" w:color="auto" w:fill="DBE5F1" w:themeFill="accent1" w:themeFillTint="33"/>
            <w:vAlign w:val="center"/>
          </w:tcPr>
          <w:p w:rsidR="00A03F13" w:rsidRPr="00204179" w:rsidRDefault="008D1233" w:rsidP="003F65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Hire purchase</w:t>
            </w:r>
          </w:p>
        </w:tc>
        <w:tc>
          <w:tcPr>
            <w:tcW w:w="4253" w:type="dxa"/>
            <w:shd w:val="clear" w:color="auto" w:fill="DBE5F1" w:themeFill="accent1" w:themeFillTint="33"/>
            <w:vAlign w:val="center"/>
          </w:tcPr>
          <w:p w:rsidR="00A03F13" w:rsidRPr="00204179" w:rsidRDefault="008D1233" w:rsidP="006804FD">
            <w:pPr>
              <w:ind w:right="1419" w:firstLine="19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  <w:r w:rsidR="00A73CE2">
              <w:rPr>
                <w:rFonts w:ascii="Arial" w:hAnsi="Arial" w:cs="Arial"/>
                <w:sz w:val="20"/>
              </w:rPr>
              <w:t>1</w:t>
            </w:r>
            <w:r w:rsidR="00A03F13" w:rsidRPr="0020417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billion</w:t>
            </w:r>
            <w:r w:rsidR="00382C11">
              <w:rPr>
                <w:rFonts w:ascii="Arial" w:hAnsi="Arial" w:cs="Arial"/>
                <w:sz w:val="20"/>
              </w:rPr>
              <w:t xml:space="preserve"> e</w:t>
            </w:r>
            <w:r w:rsidR="00A03F13" w:rsidRPr="00204179">
              <w:rPr>
                <w:rFonts w:ascii="Arial" w:hAnsi="Arial" w:cs="Arial"/>
                <w:sz w:val="20"/>
              </w:rPr>
              <w:t>uro (</w:t>
            </w:r>
            <w:r w:rsidR="0093308D">
              <w:rPr>
                <w:rFonts w:ascii="Arial" w:hAnsi="Arial" w:cs="Arial"/>
                <w:sz w:val="20"/>
              </w:rPr>
              <w:t>+</w:t>
            </w:r>
            <w:r w:rsidR="00A73CE2">
              <w:rPr>
                <w:rFonts w:ascii="Arial" w:hAnsi="Arial" w:cs="Arial"/>
                <w:sz w:val="20"/>
              </w:rPr>
              <w:t>11</w:t>
            </w:r>
            <w:r w:rsidR="00A03F13" w:rsidRPr="00204179">
              <w:rPr>
                <w:rFonts w:ascii="Arial" w:hAnsi="Arial" w:cs="Arial"/>
                <w:sz w:val="20"/>
              </w:rPr>
              <w:t>%)</w:t>
            </w:r>
          </w:p>
        </w:tc>
      </w:tr>
      <w:tr w:rsidR="00A03F13" w:rsidTr="006804FD">
        <w:trPr>
          <w:trHeight w:val="482"/>
        </w:trPr>
        <w:tc>
          <w:tcPr>
            <w:tcW w:w="3969" w:type="dxa"/>
            <w:shd w:val="clear" w:color="auto" w:fill="DBE5F1" w:themeFill="accent1" w:themeFillTint="33"/>
            <w:vAlign w:val="center"/>
          </w:tcPr>
          <w:p w:rsidR="00A03F13" w:rsidRPr="00625AC5" w:rsidRDefault="008D1233" w:rsidP="003F6556">
            <w:pPr>
              <w:spacing w:after="60"/>
              <w:ind w:right="-28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Equipment l</w:t>
            </w:r>
            <w:r w:rsidR="00A03F13" w:rsidRPr="00625AC5">
              <w:rPr>
                <w:rFonts w:ascii="Arial" w:hAnsi="Arial" w:cs="Arial"/>
                <w:sz w:val="20"/>
              </w:rPr>
              <w:t>easing</w:t>
            </w:r>
          </w:p>
          <w:p w:rsidR="00A03F13" w:rsidRPr="00625AC5" w:rsidRDefault="008D1233" w:rsidP="003F6556">
            <w:pPr>
              <w:spacing w:after="60"/>
              <w:ind w:right="-28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Real-estate l</w:t>
            </w:r>
            <w:r w:rsidR="00A03F13" w:rsidRPr="00625AC5">
              <w:rPr>
                <w:rFonts w:ascii="Arial" w:hAnsi="Arial" w:cs="Arial"/>
                <w:sz w:val="20"/>
              </w:rPr>
              <w:t>easing</w:t>
            </w:r>
          </w:p>
        </w:tc>
        <w:tc>
          <w:tcPr>
            <w:tcW w:w="4253" w:type="dxa"/>
            <w:shd w:val="clear" w:color="auto" w:fill="DBE5F1" w:themeFill="accent1" w:themeFillTint="33"/>
            <w:vAlign w:val="center"/>
          </w:tcPr>
          <w:p w:rsidR="00A36F60" w:rsidRDefault="00A229E8" w:rsidP="006804FD">
            <w:pPr>
              <w:spacing w:after="60"/>
              <w:ind w:right="1419" w:firstLine="192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A73CE2">
              <w:rPr>
                <w:rFonts w:ascii="Arial" w:hAnsi="Arial" w:cs="Arial"/>
                <w:sz w:val="20"/>
              </w:rPr>
              <w:t>9</w:t>
            </w:r>
            <w:r w:rsidR="008D1233">
              <w:rPr>
                <w:rFonts w:ascii="Arial" w:hAnsi="Arial" w:cs="Arial"/>
                <w:sz w:val="20"/>
              </w:rPr>
              <w:t>.</w:t>
            </w:r>
            <w:r w:rsidR="00A73CE2">
              <w:rPr>
                <w:rFonts w:ascii="Arial" w:hAnsi="Arial" w:cs="Arial"/>
                <w:sz w:val="20"/>
              </w:rPr>
              <w:t>10</w:t>
            </w:r>
            <w:r w:rsidR="00A03F13" w:rsidRPr="00625AC5">
              <w:rPr>
                <w:rFonts w:ascii="Arial" w:hAnsi="Arial" w:cs="Arial"/>
                <w:sz w:val="20"/>
              </w:rPr>
              <w:t xml:space="preserve"> </w:t>
            </w:r>
            <w:r w:rsidR="008D1233">
              <w:rPr>
                <w:rFonts w:ascii="Arial" w:hAnsi="Arial" w:cs="Arial"/>
                <w:sz w:val="20"/>
              </w:rPr>
              <w:t>billion</w:t>
            </w:r>
            <w:r w:rsidR="00382C11">
              <w:rPr>
                <w:rFonts w:ascii="Arial" w:hAnsi="Arial" w:cs="Arial"/>
                <w:sz w:val="20"/>
              </w:rPr>
              <w:t xml:space="preserve"> e</w:t>
            </w:r>
            <w:r w:rsidR="00A03F13" w:rsidRPr="00625AC5">
              <w:rPr>
                <w:rFonts w:ascii="Arial" w:hAnsi="Arial" w:cs="Arial"/>
                <w:sz w:val="20"/>
              </w:rPr>
              <w:t>uro (</w:t>
            </w:r>
            <w:r w:rsidR="0093308D">
              <w:rPr>
                <w:rFonts w:ascii="Arial" w:hAnsi="Arial" w:cs="Arial"/>
                <w:sz w:val="20"/>
              </w:rPr>
              <w:t>+</w:t>
            </w:r>
            <w:r w:rsidR="00A73CE2">
              <w:rPr>
                <w:rFonts w:ascii="Arial" w:hAnsi="Arial" w:cs="Arial"/>
                <w:sz w:val="20"/>
              </w:rPr>
              <w:t>3</w:t>
            </w:r>
            <w:r w:rsidR="00637E45">
              <w:rPr>
                <w:rFonts w:ascii="Arial" w:hAnsi="Arial" w:cs="Arial"/>
                <w:sz w:val="20"/>
              </w:rPr>
              <w:t>.</w:t>
            </w:r>
            <w:r w:rsidR="00A73CE2">
              <w:rPr>
                <w:rFonts w:ascii="Arial" w:hAnsi="Arial" w:cs="Arial"/>
                <w:sz w:val="20"/>
              </w:rPr>
              <w:t>1</w:t>
            </w:r>
            <w:r w:rsidR="00A03F13" w:rsidRPr="00625AC5">
              <w:rPr>
                <w:rFonts w:ascii="Arial" w:hAnsi="Arial" w:cs="Arial"/>
                <w:sz w:val="20"/>
              </w:rPr>
              <w:t>%)</w:t>
            </w:r>
          </w:p>
          <w:p w:rsidR="00A03F13" w:rsidRPr="00625AC5" w:rsidRDefault="008D1233" w:rsidP="006804FD">
            <w:pPr>
              <w:spacing w:after="60"/>
              <w:ind w:right="1419" w:firstLine="192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  <w:r w:rsidR="00A73CE2">
              <w:rPr>
                <w:rFonts w:ascii="Arial" w:hAnsi="Arial" w:cs="Arial"/>
                <w:sz w:val="20"/>
              </w:rPr>
              <w:t>48</w:t>
            </w:r>
            <w:r w:rsidR="00A03F13" w:rsidRPr="00625AC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billion</w:t>
            </w:r>
            <w:r w:rsidR="00382C11">
              <w:rPr>
                <w:rFonts w:ascii="Arial" w:hAnsi="Arial" w:cs="Arial"/>
                <w:sz w:val="20"/>
              </w:rPr>
              <w:t xml:space="preserve"> e</w:t>
            </w:r>
            <w:r w:rsidR="00A03F13" w:rsidRPr="00625AC5">
              <w:rPr>
                <w:rFonts w:ascii="Arial" w:hAnsi="Arial" w:cs="Arial"/>
                <w:sz w:val="20"/>
              </w:rPr>
              <w:t xml:space="preserve">uro </w:t>
            </w:r>
            <w:r w:rsidR="00A36F60">
              <w:rPr>
                <w:rFonts w:ascii="Arial" w:hAnsi="Arial" w:cs="Arial"/>
                <w:sz w:val="20"/>
              </w:rPr>
              <w:t>(</w:t>
            </w:r>
            <w:r w:rsidR="00A73CE2">
              <w:rPr>
                <w:rFonts w:ascii="Arial" w:hAnsi="Arial" w:cs="Arial"/>
                <w:sz w:val="20"/>
              </w:rPr>
              <w:t>+</w:t>
            </w:r>
            <w:r w:rsidR="00E218E4">
              <w:rPr>
                <w:rFonts w:ascii="Arial" w:hAnsi="Arial" w:cs="Arial"/>
                <w:sz w:val="20"/>
              </w:rPr>
              <w:t>2</w:t>
            </w:r>
            <w:r w:rsidR="00637E45">
              <w:rPr>
                <w:rFonts w:ascii="Arial" w:hAnsi="Arial" w:cs="Arial"/>
                <w:sz w:val="20"/>
              </w:rPr>
              <w:t>9.</w:t>
            </w:r>
            <w:r w:rsidR="00A73CE2">
              <w:rPr>
                <w:rFonts w:ascii="Arial" w:hAnsi="Arial" w:cs="Arial"/>
                <w:sz w:val="20"/>
              </w:rPr>
              <w:t>8</w:t>
            </w:r>
            <w:r w:rsidR="00A03F13" w:rsidRPr="00625AC5">
              <w:rPr>
                <w:rFonts w:ascii="Arial" w:hAnsi="Arial" w:cs="Arial"/>
                <w:sz w:val="20"/>
              </w:rPr>
              <w:t>%)</w:t>
            </w:r>
          </w:p>
        </w:tc>
      </w:tr>
      <w:tr w:rsidR="00A03F13" w:rsidTr="006804FD">
        <w:trPr>
          <w:trHeight w:val="647"/>
        </w:trPr>
        <w:tc>
          <w:tcPr>
            <w:tcW w:w="3969" w:type="dxa"/>
            <w:shd w:val="clear" w:color="auto" w:fill="DBE5F1" w:themeFill="accent1" w:themeFillTint="33"/>
            <w:vAlign w:val="center"/>
          </w:tcPr>
          <w:p w:rsidR="00A03F13" w:rsidRPr="000970DF" w:rsidRDefault="00382C11" w:rsidP="003F6556">
            <w:pPr>
              <w:spacing w:after="60"/>
              <w:ind w:right="-28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Overall le</w:t>
            </w:r>
            <w:r w:rsidR="00A03F13" w:rsidRPr="00F50408">
              <w:rPr>
                <w:rFonts w:ascii="Arial" w:hAnsi="Arial" w:cs="Arial"/>
                <w:sz w:val="20"/>
              </w:rPr>
              <w:t>asing</w:t>
            </w:r>
            <w:r w:rsidR="008D1233">
              <w:rPr>
                <w:rFonts w:ascii="Arial" w:hAnsi="Arial" w:cs="Arial"/>
                <w:sz w:val="20"/>
              </w:rPr>
              <w:t xml:space="preserve"> penetration rate</w:t>
            </w:r>
          </w:p>
          <w:p w:rsidR="00A03F13" w:rsidRPr="000970DF" w:rsidRDefault="008D1233" w:rsidP="003F6556">
            <w:pPr>
              <w:spacing w:after="60"/>
              <w:ind w:right="-28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Penetration rate in the equipment segment</w:t>
            </w:r>
          </w:p>
        </w:tc>
        <w:tc>
          <w:tcPr>
            <w:tcW w:w="4253" w:type="dxa"/>
            <w:shd w:val="clear" w:color="auto" w:fill="DBE5F1" w:themeFill="accent1" w:themeFillTint="33"/>
            <w:vAlign w:val="center"/>
          </w:tcPr>
          <w:p w:rsidR="006804FD" w:rsidRDefault="00A229E8" w:rsidP="006804FD">
            <w:pPr>
              <w:spacing w:after="60"/>
              <w:ind w:right="2553" w:firstLine="192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A73CE2">
              <w:rPr>
                <w:rFonts w:ascii="Arial" w:hAnsi="Arial" w:cs="Arial"/>
                <w:sz w:val="20"/>
              </w:rPr>
              <w:t>5</w:t>
            </w:r>
            <w:r w:rsidR="008D1233">
              <w:rPr>
                <w:rFonts w:ascii="Arial" w:hAnsi="Arial" w:cs="Arial"/>
                <w:sz w:val="20"/>
              </w:rPr>
              <w:t>.</w:t>
            </w:r>
            <w:r w:rsidR="00A73CE2">
              <w:rPr>
                <w:rFonts w:ascii="Arial" w:hAnsi="Arial" w:cs="Arial"/>
                <w:sz w:val="20"/>
              </w:rPr>
              <w:t>5</w:t>
            </w:r>
            <w:r w:rsidR="00A03F13" w:rsidRPr="00625AC5">
              <w:rPr>
                <w:rFonts w:ascii="Arial" w:hAnsi="Arial" w:cs="Arial"/>
                <w:sz w:val="20"/>
              </w:rPr>
              <w:t xml:space="preserve"> %</w:t>
            </w:r>
          </w:p>
          <w:p w:rsidR="00A03F13" w:rsidRPr="00625AC5" w:rsidRDefault="00A229E8" w:rsidP="006804FD">
            <w:pPr>
              <w:spacing w:after="60"/>
              <w:ind w:right="2553" w:firstLine="192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A73CE2">
              <w:rPr>
                <w:rFonts w:ascii="Arial" w:hAnsi="Arial" w:cs="Arial"/>
                <w:sz w:val="20"/>
              </w:rPr>
              <w:t>3</w:t>
            </w:r>
            <w:r w:rsidR="008D1233">
              <w:rPr>
                <w:rFonts w:ascii="Arial" w:hAnsi="Arial" w:cs="Arial"/>
                <w:sz w:val="20"/>
              </w:rPr>
              <w:t>.</w:t>
            </w:r>
            <w:r w:rsidR="00A73CE2">
              <w:rPr>
                <w:rFonts w:ascii="Arial" w:hAnsi="Arial" w:cs="Arial"/>
                <w:sz w:val="20"/>
              </w:rPr>
              <w:t>2</w:t>
            </w:r>
            <w:r w:rsidR="00A03F13" w:rsidRPr="00625AC5">
              <w:rPr>
                <w:rFonts w:ascii="Arial" w:hAnsi="Arial" w:cs="Arial"/>
                <w:sz w:val="20"/>
              </w:rPr>
              <w:t xml:space="preserve"> %</w:t>
            </w:r>
          </w:p>
        </w:tc>
      </w:tr>
      <w:tr w:rsidR="00A03F13" w:rsidTr="006804FD">
        <w:trPr>
          <w:trHeight w:val="382"/>
        </w:trPr>
        <w:tc>
          <w:tcPr>
            <w:tcW w:w="3969" w:type="dxa"/>
            <w:shd w:val="clear" w:color="auto" w:fill="000066"/>
          </w:tcPr>
          <w:p w:rsidR="00A03F13" w:rsidRPr="004C47C1" w:rsidRDefault="00382C11" w:rsidP="000303F5">
            <w:pPr>
              <w:spacing w:before="120" w:after="120"/>
              <w:ind w:right="-28"/>
              <w:contextualSpacing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Leasing-Se</w:t>
            </w:r>
            <w:r w:rsidR="005F0718">
              <w:rPr>
                <w:rFonts w:ascii="Arial" w:hAnsi="Arial" w:cs="Arial"/>
                <w:b/>
                <w:i/>
                <w:sz w:val="20"/>
              </w:rPr>
              <w:t>gment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Trends</w:t>
            </w:r>
          </w:p>
        </w:tc>
        <w:tc>
          <w:tcPr>
            <w:tcW w:w="4253" w:type="dxa"/>
            <w:shd w:val="clear" w:color="auto" w:fill="000066"/>
          </w:tcPr>
          <w:p w:rsidR="00A03F13" w:rsidRPr="004C47C1" w:rsidRDefault="00382C11" w:rsidP="00A73CE2">
            <w:pPr>
              <w:spacing w:after="60"/>
              <w:ind w:right="2"/>
              <w:contextualSpacing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Year-on-Year Comparison with</w:t>
            </w:r>
            <w:r w:rsidR="00A03F13" w:rsidRPr="004C47C1">
              <w:rPr>
                <w:rFonts w:ascii="Arial" w:hAnsi="Arial" w:cs="Arial"/>
                <w:b/>
                <w:i/>
                <w:sz w:val="20"/>
              </w:rPr>
              <w:t xml:space="preserve"> 201</w:t>
            </w:r>
            <w:r w:rsidR="00A73CE2">
              <w:rPr>
                <w:rFonts w:ascii="Arial" w:hAnsi="Arial" w:cs="Arial"/>
                <w:b/>
                <w:i/>
                <w:sz w:val="20"/>
              </w:rPr>
              <w:t>7</w:t>
            </w:r>
          </w:p>
        </w:tc>
      </w:tr>
      <w:tr w:rsidR="00A03F13" w:rsidTr="006804FD">
        <w:tc>
          <w:tcPr>
            <w:tcW w:w="3969" w:type="dxa"/>
            <w:shd w:val="clear" w:color="auto" w:fill="DBE5F1" w:themeFill="accent1" w:themeFillTint="33"/>
          </w:tcPr>
          <w:p w:rsidR="00A03F13" w:rsidRPr="00625AC5" w:rsidRDefault="00382C11" w:rsidP="00064ADF">
            <w:pPr>
              <w:spacing w:after="60"/>
              <w:ind w:right="-28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Vehicles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A03F13" w:rsidRPr="00625AC5" w:rsidRDefault="0093308D" w:rsidP="00172785">
            <w:pPr>
              <w:tabs>
                <w:tab w:val="left" w:pos="318"/>
              </w:tabs>
              <w:spacing w:after="60"/>
              <w:ind w:right="3152"/>
              <w:contextualSpacing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+</w:t>
            </w:r>
            <w:r w:rsidR="008D1233">
              <w:rPr>
                <w:rFonts w:ascii="Arial" w:hAnsi="Arial" w:cs="Arial"/>
                <w:sz w:val="20"/>
              </w:rPr>
              <w:t>3.</w:t>
            </w:r>
            <w:r w:rsidR="00A73CE2">
              <w:rPr>
                <w:rFonts w:ascii="Arial" w:hAnsi="Arial" w:cs="Arial"/>
                <w:sz w:val="20"/>
              </w:rPr>
              <w:t>0</w:t>
            </w:r>
            <w:r w:rsidR="00A03F13" w:rsidRPr="00625AC5">
              <w:rPr>
                <w:rFonts w:ascii="Arial" w:hAnsi="Arial" w:cs="Arial"/>
                <w:sz w:val="20"/>
              </w:rPr>
              <w:t xml:space="preserve"> %</w:t>
            </w:r>
          </w:p>
        </w:tc>
      </w:tr>
      <w:tr w:rsidR="00A03F13" w:rsidTr="006804FD">
        <w:tc>
          <w:tcPr>
            <w:tcW w:w="3969" w:type="dxa"/>
            <w:shd w:val="clear" w:color="auto" w:fill="DBE5F1" w:themeFill="accent1" w:themeFillTint="33"/>
          </w:tcPr>
          <w:p w:rsidR="00A03F13" w:rsidRPr="00625AC5" w:rsidRDefault="00A03F13" w:rsidP="00064ADF">
            <w:pPr>
              <w:spacing w:after="60"/>
              <w:ind w:right="-28"/>
              <w:contextualSpacing/>
              <w:rPr>
                <w:rFonts w:ascii="Arial" w:hAnsi="Arial" w:cs="Arial"/>
                <w:sz w:val="20"/>
              </w:rPr>
            </w:pPr>
            <w:r w:rsidRPr="00625AC5">
              <w:rPr>
                <w:rFonts w:ascii="Arial" w:hAnsi="Arial" w:cs="Arial"/>
                <w:sz w:val="20"/>
              </w:rPr>
              <w:t>Produ</w:t>
            </w:r>
            <w:r w:rsidR="00382C11">
              <w:rPr>
                <w:rFonts w:ascii="Arial" w:hAnsi="Arial" w:cs="Arial"/>
                <w:sz w:val="20"/>
              </w:rPr>
              <w:t>ction machinery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A03F13" w:rsidRPr="00625AC5" w:rsidRDefault="0093308D" w:rsidP="00172785">
            <w:pPr>
              <w:tabs>
                <w:tab w:val="left" w:pos="318"/>
              </w:tabs>
              <w:spacing w:after="60"/>
              <w:ind w:right="3152"/>
              <w:contextualSpacing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+</w:t>
            </w:r>
            <w:r w:rsidR="008D1233">
              <w:rPr>
                <w:rFonts w:ascii="Arial" w:hAnsi="Arial" w:cs="Arial"/>
                <w:sz w:val="20"/>
              </w:rPr>
              <w:t>8.</w:t>
            </w:r>
            <w:r w:rsidR="00A73CE2">
              <w:rPr>
                <w:rFonts w:ascii="Arial" w:hAnsi="Arial" w:cs="Arial"/>
                <w:sz w:val="20"/>
              </w:rPr>
              <w:t>8</w:t>
            </w:r>
            <w:r w:rsidR="00A03F13" w:rsidRPr="00625AC5">
              <w:rPr>
                <w:rFonts w:ascii="Arial" w:hAnsi="Arial" w:cs="Arial"/>
                <w:sz w:val="20"/>
              </w:rPr>
              <w:t xml:space="preserve"> %</w:t>
            </w:r>
          </w:p>
        </w:tc>
      </w:tr>
      <w:tr w:rsidR="00A03F13" w:rsidTr="006804FD">
        <w:tc>
          <w:tcPr>
            <w:tcW w:w="3969" w:type="dxa"/>
            <w:shd w:val="clear" w:color="auto" w:fill="DBE5F1" w:themeFill="accent1" w:themeFillTint="33"/>
          </w:tcPr>
          <w:p w:rsidR="00A03F13" w:rsidRPr="00625AC5" w:rsidRDefault="00382C11" w:rsidP="00064ADF">
            <w:pPr>
              <w:spacing w:after="60"/>
              <w:ind w:right="-28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equipment, IT systems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A03F13" w:rsidRPr="00625AC5" w:rsidRDefault="008D1233" w:rsidP="00172785">
            <w:pPr>
              <w:tabs>
                <w:tab w:val="left" w:pos="318"/>
              </w:tabs>
              <w:spacing w:after="60"/>
              <w:ind w:right="3152"/>
              <w:contextualSpacing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+1.</w:t>
            </w:r>
            <w:r w:rsidR="00A73CE2">
              <w:rPr>
                <w:rFonts w:ascii="Arial" w:hAnsi="Arial" w:cs="Arial"/>
                <w:sz w:val="20"/>
              </w:rPr>
              <w:t>5</w:t>
            </w:r>
            <w:r w:rsidR="00A03F13" w:rsidRPr="00625AC5">
              <w:rPr>
                <w:rFonts w:ascii="Arial" w:hAnsi="Arial" w:cs="Arial"/>
                <w:sz w:val="20"/>
              </w:rPr>
              <w:t xml:space="preserve"> %</w:t>
            </w:r>
          </w:p>
        </w:tc>
      </w:tr>
      <w:tr w:rsidR="00A03F13" w:rsidTr="006804FD">
        <w:tc>
          <w:tcPr>
            <w:tcW w:w="3969" w:type="dxa"/>
            <w:shd w:val="clear" w:color="auto" w:fill="DBE5F1" w:themeFill="accent1" w:themeFillTint="33"/>
          </w:tcPr>
          <w:p w:rsidR="00A03F13" w:rsidRPr="00625AC5" w:rsidRDefault="00382C11" w:rsidP="009B10AB">
            <w:pPr>
              <w:spacing w:after="60"/>
              <w:ind w:right="-28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“Other equipment” (including information &amp; signalling sy</w:t>
            </w:r>
            <w:r w:rsidR="00637E45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tems and medical technology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A03F13" w:rsidRPr="00625AC5" w:rsidRDefault="0093308D" w:rsidP="00172785">
            <w:pPr>
              <w:tabs>
                <w:tab w:val="left" w:pos="318"/>
              </w:tabs>
              <w:spacing w:after="60"/>
              <w:ind w:right="3152"/>
              <w:contextualSpacing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+</w:t>
            </w:r>
            <w:r w:rsidR="008D1233">
              <w:rPr>
                <w:rFonts w:ascii="Arial" w:hAnsi="Arial" w:cs="Arial"/>
                <w:sz w:val="20"/>
              </w:rPr>
              <w:t>7.</w:t>
            </w:r>
            <w:r w:rsidR="00A73CE2">
              <w:rPr>
                <w:rFonts w:ascii="Arial" w:hAnsi="Arial" w:cs="Arial"/>
                <w:sz w:val="20"/>
              </w:rPr>
              <w:t>3</w:t>
            </w:r>
            <w:r w:rsidR="00A03F13" w:rsidRPr="00625AC5">
              <w:rPr>
                <w:rFonts w:ascii="Arial" w:hAnsi="Arial" w:cs="Arial"/>
                <w:sz w:val="20"/>
              </w:rPr>
              <w:t xml:space="preserve"> %</w:t>
            </w:r>
          </w:p>
        </w:tc>
      </w:tr>
      <w:tr w:rsidR="00A03F13" w:rsidTr="006804FD">
        <w:tc>
          <w:tcPr>
            <w:tcW w:w="3969" w:type="dxa"/>
            <w:shd w:val="clear" w:color="auto" w:fill="DBE5F1" w:themeFill="accent1" w:themeFillTint="33"/>
          </w:tcPr>
          <w:p w:rsidR="00A03F13" w:rsidRPr="00625AC5" w:rsidRDefault="00382C11" w:rsidP="00064ADF">
            <w:pPr>
              <w:spacing w:after="60"/>
              <w:ind w:right="-28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Aircraft, watercraft, and railed vehicles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A03F13" w:rsidRPr="00625AC5" w:rsidRDefault="008D1233" w:rsidP="00172785">
            <w:pPr>
              <w:tabs>
                <w:tab w:val="left" w:pos="34"/>
                <w:tab w:val="left" w:pos="318"/>
              </w:tabs>
              <w:spacing w:after="60"/>
              <w:ind w:right="3152"/>
              <w:contextualSpacing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-22.</w:t>
            </w:r>
            <w:r w:rsidR="00A73CE2">
              <w:rPr>
                <w:rFonts w:ascii="Arial" w:hAnsi="Arial" w:cs="Arial"/>
                <w:sz w:val="20"/>
              </w:rPr>
              <w:t>3</w:t>
            </w:r>
            <w:r w:rsidR="006804FD">
              <w:rPr>
                <w:rFonts w:ascii="Arial" w:hAnsi="Arial" w:cs="Arial"/>
                <w:sz w:val="20"/>
              </w:rPr>
              <w:t xml:space="preserve"> %</w:t>
            </w:r>
          </w:p>
        </w:tc>
      </w:tr>
    </w:tbl>
    <w:p w:rsidR="00A03F13" w:rsidRDefault="00A03F13" w:rsidP="0000172F">
      <w:pPr>
        <w:spacing w:after="120"/>
        <w:ind w:right="-28"/>
        <w:rPr>
          <w:rFonts w:ascii="Arial" w:hAnsi="Arial" w:cs="Arial"/>
          <w:sz w:val="20"/>
        </w:rPr>
      </w:pPr>
    </w:p>
    <w:sectPr w:rsidR="00A03F13" w:rsidSect="00487FE7">
      <w:headerReference w:type="default" r:id="rId9"/>
      <w:footerReference w:type="default" r:id="rId10"/>
      <w:headerReference w:type="first" r:id="rId11"/>
      <w:pgSz w:w="11906" w:h="16838" w:code="9"/>
      <w:pgMar w:top="2091" w:right="2125" w:bottom="709" w:left="144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9FB" w:rsidRDefault="006379FB">
      <w:r>
        <w:separator/>
      </w:r>
    </w:p>
  </w:endnote>
  <w:endnote w:type="continuationSeparator" w:id="0">
    <w:p w:rsidR="006379FB" w:rsidRDefault="0063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1BD" w:rsidRPr="00F061BD" w:rsidRDefault="00F061BD" w:rsidP="00F061BD">
    <w:pPr>
      <w:pStyle w:val="Fuzeile"/>
      <w:jc w:val="right"/>
      <w:rPr>
        <w:rFonts w:ascii="Arial" w:hAnsi="Arial" w:cs="Arial"/>
        <w:i/>
      </w:rPr>
    </w:pPr>
    <w:r w:rsidRPr="00F061BD">
      <w:rPr>
        <w:rFonts w:ascii="Arial" w:hAnsi="Arial" w:cs="Arial"/>
        <w:i/>
      </w:rPr>
      <w:t>2/2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9FB" w:rsidRDefault="006379FB">
      <w:r>
        <w:separator/>
      </w:r>
    </w:p>
  </w:footnote>
  <w:footnote w:type="continuationSeparator" w:id="0">
    <w:p w:rsidR="006379FB" w:rsidRDefault="00637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F70" w:rsidRDefault="00573F70" w:rsidP="003F6556">
    <w:pPr>
      <w:pStyle w:val="Kopfzeile"/>
      <w:tabs>
        <w:tab w:val="clear" w:pos="9072"/>
        <w:tab w:val="right" w:pos="9639"/>
      </w:tabs>
      <w:ind w:right="-1304"/>
      <w:jc w:val="right"/>
    </w:pPr>
    <w:r>
      <w:rPr>
        <w:noProof/>
        <w:lang w:val="de-DE"/>
      </w:rPr>
      <w:drawing>
        <wp:inline distT="0" distB="0" distL="0" distR="0" wp14:anchorId="620DE090" wp14:editId="496CDC50">
          <wp:extent cx="2240280" cy="571500"/>
          <wp:effectExtent l="0" t="0" r="7620" b="0"/>
          <wp:docPr id="1" name="Bild 1" descr="BDL Logo mit schrift ohne weiß_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L Logo mit schrift ohne weiß_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F70" w:rsidRDefault="00573F70" w:rsidP="00F4405C">
    <w:pPr>
      <w:pStyle w:val="Kopfzeile"/>
      <w:ind w:right="-1304"/>
      <w:jc w:val="right"/>
    </w:pPr>
    <w:r>
      <w:rPr>
        <w:noProof/>
        <w:lang w:val="de-DE"/>
      </w:rPr>
      <w:drawing>
        <wp:inline distT="0" distB="0" distL="0" distR="0" wp14:anchorId="704CC765" wp14:editId="4C8A61D4">
          <wp:extent cx="2308860" cy="586740"/>
          <wp:effectExtent l="0" t="0" r="0" b="3810"/>
          <wp:docPr id="2" name="Bild 2" descr="BDL Logo mit schrift ohne weiß_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DL Logo mit schrift ohne weiß_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8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17AB1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51AF4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C3085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AB6D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AC8B8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D699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28B5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746F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649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C124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33DDA"/>
    <w:multiLevelType w:val="hybridMultilevel"/>
    <w:tmpl w:val="769E0EB4"/>
    <w:lvl w:ilvl="0" w:tplc="7D140DB6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045012"/>
    <w:multiLevelType w:val="hybridMultilevel"/>
    <w:tmpl w:val="A506416A"/>
    <w:lvl w:ilvl="0" w:tplc="FAFACF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E0D78"/>
    <w:multiLevelType w:val="hybridMultilevel"/>
    <w:tmpl w:val="C5B8CDEA"/>
    <w:lvl w:ilvl="0" w:tplc="2FF68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6B4F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61A7E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27233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34E05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968C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8C8C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A2EF6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ACFC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51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CD6"/>
    <w:rsid w:val="00000AD4"/>
    <w:rsid w:val="0000172F"/>
    <w:rsid w:val="00001D8A"/>
    <w:rsid w:val="000035BA"/>
    <w:rsid w:val="000038CE"/>
    <w:rsid w:val="00003B30"/>
    <w:rsid w:val="00004404"/>
    <w:rsid w:val="00007D4B"/>
    <w:rsid w:val="00007F11"/>
    <w:rsid w:val="0001184A"/>
    <w:rsid w:val="00012C0B"/>
    <w:rsid w:val="000154D1"/>
    <w:rsid w:val="00015D80"/>
    <w:rsid w:val="00023C7D"/>
    <w:rsid w:val="00026DB9"/>
    <w:rsid w:val="000303F5"/>
    <w:rsid w:val="000313BB"/>
    <w:rsid w:val="000328AD"/>
    <w:rsid w:val="0003399B"/>
    <w:rsid w:val="00035A53"/>
    <w:rsid w:val="00044C1C"/>
    <w:rsid w:val="0005125E"/>
    <w:rsid w:val="00052514"/>
    <w:rsid w:val="000546EA"/>
    <w:rsid w:val="000570D0"/>
    <w:rsid w:val="00064ADF"/>
    <w:rsid w:val="000721B6"/>
    <w:rsid w:val="0007329E"/>
    <w:rsid w:val="00074327"/>
    <w:rsid w:val="00075FB3"/>
    <w:rsid w:val="000802CA"/>
    <w:rsid w:val="00082B7A"/>
    <w:rsid w:val="000860F2"/>
    <w:rsid w:val="00091920"/>
    <w:rsid w:val="00096882"/>
    <w:rsid w:val="000970DF"/>
    <w:rsid w:val="00097DC9"/>
    <w:rsid w:val="00097EAE"/>
    <w:rsid w:val="000A0A9D"/>
    <w:rsid w:val="000A0F10"/>
    <w:rsid w:val="000A15E5"/>
    <w:rsid w:val="000A6BAB"/>
    <w:rsid w:val="000A6D93"/>
    <w:rsid w:val="000B14DA"/>
    <w:rsid w:val="000B4917"/>
    <w:rsid w:val="000B63A3"/>
    <w:rsid w:val="000B7678"/>
    <w:rsid w:val="000C2CAE"/>
    <w:rsid w:val="000C2ED8"/>
    <w:rsid w:val="000C500D"/>
    <w:rsid w:val="000D152F"/>
    <w:rsid w:val="000D3A2D"/>
    <w:rsid w:val="000D47C6"/>
    <w:rsid w:val="000E179A"/>
    <w:rsid w:val="000E1F74"/>
    <w:rsid w:val="000E73C9"/>
    <w:rsid w:val="000E7D94"/>
    <w:rsid w:val="000F0373"/>
    <w:rsid w:val="000F133A"/>
    <w:rsid w:val="001029EC"/>
    <w:rsid w:val="001040D6"/>
    <w:rsid w:val="00104A19"/>
    <w:rsid w:val="00112D15"/>
    <w:rsid w:val="00115EA2"/>
    <w:rsid w:val="00117B68"/>
    <w:rsid w:val="00121740"/>
    <w:rsid w:val="00121B39"/>
    <w:rsid w:val="001221A4"/>
    <w:rsid w:val="001225FC"/>
    <w:rsid w:val="00122EE2"/>
    <w:rsid w:val="0013049B"/>
    <w:rsid w:val="0013260D"/>
    <w:rsid w:val="00132BBD"/>
    <w:rsid w:val="00133CC3"/>
    <w:rsid w:val="00140B4A"/>
    <w:rsid w:val="00141E1B"/>
    <w:rsid w:val="00142711"/>
    <w:rsid w:val="001444EB"/>
    <w:rsid w:val="00145CE3"/>
    <w:rsid w:val="001468E5"/>
    <w:rsid w:val="0015153D"/>
    <w:rsid w:val="00153589"/>
    <w:rsid w:val="00153F72"/>
    <w:rsid w:val="0015403F"/>
    <w:rsid w:val="00156270"/>
    <w:rsid w:val="001610F6"/>
    <w:rsid w:val="001638EB"/>
    <w:rsid w:val="00163D1A"/>
    <w:rsid w:val="00172785"/>
    <w:rsid w:val="00177BAB"/>
    <w:rsid w:val="001848B2"/>
    <w:rsid w:val="001873A6"/>
    <w:rsid w:val="001877B4"/>
    <w:rsid w:val="001902B4"/>
    <w:rsid w:val="00190305"/>
    <w:rsid w:val="001975BB"/>
    <w:rsid w:val="001A0171"/>
    <w:rsid w:val="001A05C2"/>
    <w:rsid w:val="001A0E85"/>
    <w:rsid w:val="001A13EC"/>
    <w:rsid w:val="001A4464"/>
    <w:rsid w:val="001A6975"/>
    <w:rsid w:val="001A7447"/>
    <w:rsid w:val="001B1C1E"/>
    <w:rsid w:val="001C0D6C"/>
    <w:rsid w:val="001C5CDD"/>
    <w:rsid w:val="001D0866"/>
    <w:rsid w:val="001D1408"/>
    <w:rsid w:val="001D1AA2"/>
    <w:rsid w:val="001D2087"/>
    <w:rsid w:val="001D438B"/>
    <w:rsid w:val="001D6809"/>
    <w:rsid w:val="001D751D"/>
    <w:rsid w:val="001E2627"/>
    <w:rsid w:val="001E4C2D"/>
    <w:rsid w:val="001E564E"/>
    <w:rsid w:val="001E71BA"/>
    <w:rsid w:val="001F1B68"/>
    <w:rsid w:val="001F2B52"/>
    <w:rsid w:val="001F325F"/>
    <w:rsid w:val="001F4878"/>
    <w:rsid w:val="001F645B"/>
    <w:rsid w:val="00204179"/>
    <w:rsid w:val="00205115"/>
    <w:rsid w:val="00206C2B"/>
    <w:rsid w:val="00207CCA"/>
    <w:rsid w:val="0021078B"/>
    <w:rsid w:val="0021139C"/>
    <w:rsid w:val="00214CC8"/>
    <w:rsid w:val="00214DF4"/>
    <w:rsid w:val="00222520"/>
    <w:rsid w:val="00222F94"/>
    <w:rsid w:val="00233AD7"/>
    <w:rsid w:val="00241F77"/>
    <w:rsid w:val="00250406"/>
    <w:rsid w:val="00251C33"/>
    <w:rsid w:val="0025227C"/>
    <w:rsid w:val="00252325"/>
    <w:rsid w:val="00255851"/>
    <w:rsid w:val="00266C2E"/>
    <w:rsid w:val="00266D21"/>
    <w:rsid w:val="00270DA1"/>
    <w:rsid w:val="00273D15"/>
    <w:rsid w:val="00277919"/>
    <w:rsid w:val="00277D05"/>
    <w:rsid w:val="00280A3D"/>
    <w:rsid w:val="00281E52"/>
    <w:rsid w:val="00285171"/>
    <w:rsid w:val="002874C9"/>
    <w:rsid w:val="002876F8"/>
    <w:rsid w:val="00287881"/>
    <w:rsid w:val="00290B0E"/>
    <w:rsid w:val="0029476D"/>
    <w:rsid w:val="0029515E"/>
    <w:rsid w:val="00295B8D"/>
    <w:rsid w:val="00295C56"/>
    <w:rsid w:val="00296492"/>
    <w:rsid w:val="00296607"/>
    <w:rsid w:val="002973E2"/>
    <w:rsid w:val="002A3EB5"/>
    <w:rsid w:val="002A493A"/>
    <w:rsid w:val="002A7AD7"/>
    <w:rsid w:val="002B06DB"/>
    <w:rsid w:val="002B2030"/>
    <w:rsid w:val="002B4494"/>
    <w:rsid w:val="002B5DA3"/>
    <w:rsid w:val="002B74F1"/>
    <w:rsid w:val="002C01AB"/>
    <w:rsid w:val="002C741F"/>
    <w:rsid w:val="002D1A68"/>
    <w:rsid w:val="002D1E45"/>
    <w:rsid w:val="002D3858"/>
    <w:rsid w:val="002D5F93"/>
    <w:rsid w:val="002D6C81"/>
    <w:rsid w:val="002D6EE1"/>
    <w:rsid w:val="002D7367"/>
    <w:rsid w:val="002E137C"/>
    <w:rsid w:val="002E6BEE"/>
    <w:rsid w:val="002F0F98"/>
    <w:rsid w:val="002F1BD2"/>
    <w:rsid w:val="002F3661"/>
    <w:rsid w:val="002F558C"/>
    <w:rsid w:val="002F6067"/>
    <w:rsid w:val="002F736E"/>
    <w:rsid w:val="002F7DD1"/>
    <w:rsid w:val="003050A2"/>
    <w:rsid w:val="00306000"/>
    <w:rsid w:val="003077FF"/>
    <w:rsid w:val="0031229A"/>
    <w:rsid w:val="00314452"/>
    <w:rsid w:val="00323A94"/>
    <w:rsid w:val="00334885"/>
    <w:rsid w:val="0033497C"/>
    <w:rsid w:val="00335092"/>
    <w:rsid w:val="00336CE1"/>
    <w:rsid w:val="00336DCD"/>
    <w:rsid w:val="0033799E"/>
    <w:rsid w:val="003379F0"/>
    <w:rsid w:val="00344A75"/>
    <w:rsid w:val="0034574B"/>
    <w:rsid w:val="00353EC8"/>
    <w:rsid w:val="003607D8"/>
    <w:rsid w:val="00364244"/>
    <w:rsid w:val="0036469E"/>
    <w:rsid w:val="00364D9A"/>
    <w:rsid w:val="00372B70"/>
    <w:rsid w:val="0037346B"/>
    <w:rsid w:val="00377216"/>
    <w:rsid w:val="00382C11"/>
    <w:rsid w:val="003878D2"/>
    <w:rsid w:val="00394632"/>
    <w:rsid w:val="00394740"/>
    <w:rsid w:val="003958C0"/>
    <w:rsid w:val="00395D15"/>
    <w:rsid w:val="0039745D"/>
    <w:rsid w:val="003A019E"/>
    <w:rsid w:val="003A3E8B"/>
    <w:rsid w:val="003A59CD"/>
    <w:rsid w:val="003A76E1"/>
    <w:rsid w:val="003A779C"/>
    <w:rsid w:val="003B0855"/>
    <w:rsid w:val="003B0CEF"/>
    <w:rsid w:val="003B1E1C"/>
    <w:rsid w:val="003B7CFC"/>
    <w:rsid w:val="003B7F0C"/>
    <w:rsid w:val="003C0E24"/>
    <w:rsid w:val="003C5165"/>
    <w:rsid w:val="003C5CCB"/>
    <w:rsid w:val="003D0E91"/>
    <w:rsid w:val="003D232A"/>
    <w:rsid w:val="003D28F2"/>
    <w:rsid w:val="003D4C6D"/>
    <w:rsid w:val="003D643E"/>
    <w:rsid w:val="003E42FA"/>
    <w:rsid w:val="003E7CA1"/>
    <w:rsid w:val="003F1CE2"/>
    <w:rsid w:val="003F4C00"/>
    <w:rsid w:val="003F4F46"/>
    <w:rsid w:val="003F5BBE"/>
    <w:rsid w:val="003F6556"/>
    <w:rsid w:val="004026C5"/>
    <w:rsid w:val="00403D84"/>
    <w:rsid w:val="004114C2"/>
    <w:rsid w:val="00415910"/>
    <w:rsid w:val="00417252"/>
    <w:rsid w:val="00417D03"/>
    <w:rsid w:val="00421DAC"/>
    <w:rsid w:val="004252A8"/>
    <w:rsid w:val="004266C9"/>
    <w:rsid w:val="00431590"/>
    <w:rsid w:val="00433DD6"/>
    <w:rsid w:val="00436181"/>
    <w:rsid w:val="00437467"/>
    <w:rsid w:val="0044141B"/>
    <w:rsid w:val="004438AE"/>
    <w:rsid w:val="004440BE"/>
    <w:rsid w:val="00445A21"/>
    <w:rsid w:val="00445F66"/>
    <w:rsid w:val="00460D6A"/>
    <w:rsid w:val="00466FBB"/>
    <w:rsid w:val="00470950"/>
    <w:rsid w:val="00472FF8"/>
    <w:rsid w:val="0047357E"/>
    <w:rsid w:val="00476FEC"/>
    <w:rsid w:val="00477A33"/>
    <w:rsid w:val="00480E95"/>
    <w:rsid w:val="00485640"/>
    <w:rsid w:val="00487FE7"/>
    <w:rsid w:val="00490A22"/>
    <w:rsid w:val="00495CB8"/>
    <w:rsid w:val="00496062"/>
    <w:rsid w:val="004A00F2"/>
    <w:rsid w:val="004A7503"/>
    <w:rsid w:val="004B046D"/>
    <w:rsid w:val="004B4864"/>
    <w:rsid w:val="004B6389"/>
    <w:rsid w:val="004B7E2E"/>
    <w:rsid w:val="004B7EE6"/>
    <w:rsid w:val="004C0826"/>
    <w:rsid w:val="004C0919"/>
    <w:rsid w:val="004C373D"/>
    <w:rsid w:val="004C47C1"/>
    <w:rsid w:val="004D0AAD"/>
    <w:rsid w:val="004D1C9D"/>
    <w:rsid w:val="004D1D96"/>
    <w:rsid w:val="004D4640"/>
    <w:rsid w:val="004D621D"/>
    <w:rsid w:val="004E0E9F"/>
    <w:rsid w:val="004E1C18"/>
    <w:rsid w:val="004E6126"/>
    <w:rsid w:val="004E613A"/>
    <w:rsid w:val="004F2680"/>
    <w:rsid w:val="004F37AA"/>
    <w:rsid w:val="004F5853"/>
    <w:rsid w:val="00504D3C"/>
    <w:rsid w:val="00504EBA"/>
    <w:rsid w:val="00505290"/>
    <w:rsid w:val="00510AFE"/>
    <w:rsid w:val="00512EDE"/>
    <w:rsid w:val="00513A6E"/>
    <w:rsid w:val="0051422F"/>
    <w:rsid w:val="00516B50"/>
    <w:rsid w:val="00517087"/>
    <w:rsid w:val="00517495"/>
    <w:rsid w:val="00522699"/>
    <w:rsid w:val="00523430"/>
    <w:rsid w:val="005270A8"/>
    <w:rsid w:val="00531DAF"/>
    <w:rsid w:val="00535C08"/>
    <w:rsid w:val="00541C7A"/>
    <w:rsid w:val="00542C15"/>
    <w:rsid w:val="005537AA"/>
    <w:rsid w:val="00554939"/>
    <w:rsid w:val="0055646A"/>
    <w:rsid w:val="00557012"/>
    <w:rsid w:val="00560366"/>
    <w:rsid w:val="00560C28"/>
    <w:rsid w:val="0056287A"/>
    <w:rsid w:val="00562C7C"/>
    <w:rsid w:val="00562DAF"/>
    <w:rsid w:val="00571544"/>
    <w:rsid w:val="00571622"/>
    <w:rsid w:val="005726D7"/>
    <w:rsid w:val="00573F70"/>
    <w:rsid w:val="00573FCE"/>
    <w:rsid w:val="00576802"/>
    <w:rsid w:val="00577B6F"/>
    <w:rsid w:val="00583F79"/>
    <w:rsid w:val="005858F4"/>
    <w:rsid w:val="00586510"/>
    <w:rsid w:val="005876D0"/>
    <w:rsid w:val="00590E4A"/>
    <w:rsid w:val="005924F3"/>
    <w:rsid w:val="00592D48"/>
    <w:rsid w:val="005930FC"/>
    <w:rsid w:val="00593E50"/>
    <w:rsid w:val="00597020"/>
    <w:rsid w:val="005A0787"/>
    <w:rsid w:val="005A123A"/>
    <w:rsid w:val="005A6128"/>
    <w:rsid w:val="005A7750"/>
    <w:rsid w:val="005B32FE"/>
    <w:rsid w:val="005B4E4E"/>
    <w:rsid w:val="005B5D08"/>
    <w:rsid w:val="005C2B35"/>
    <w:rsid w:val="005C3F39"/>
    <w:rsid w:val="005C455F"/>
    <w:rsid w:val="005C66AE"/>
    <w:rsid w:val="005C70BC"/>
    <w:rsid w:val="005D2953"/>
    <w:rsid w:val="005D2DC1"/>
    <w:rsid w:val="005D4FBF"/>
    <w:rsid w:val="005D7AD6"/>
    <w:rsid w:val="005E33AB"/>
    <w:rsid w:val="005E34C7"/>
    <w:rsid w:val="005F0718"/>
    <w:rsid w:val="005F130E"/>
    <w:rsid w:val="005F254B"/>
    <w:rsid w:val="005F2C5B"/>
    <w:rsid w:val="005F454B"/>
    <w:rsid w:val="005F45AE"/>
    <w:rsid w:val="005F4911"/>
    <w:rsid w:val="005F4DFB"/>
    <w:rsid w:val="005F5097"/>
    <w:rsid w:val="005F605B"/>
    <w:rsid w:val="005F6382"/>
    <w:rsid w:val="006003C5"/>
    <w:rsid w:val="00602041"/>
    <w:rsid w:val="0060429F"/>
    <w:rsid w:val="00610536"/>
    <w:rsid w:val="00610BFA"/>
    <w:rsid w:val="00613990"/>
    <w:rsid w:val="006177BD"/>
    <w:rsid w:val="006217E4"/>
    <w:rsid w:val="00624129"/>
    <w:rsid w:val="00625AC5"/>
    <w:rsid w:val="00627E53"/>
    <w:rsid w:val="00633CEF"/>
    <w:rsid w:val="0063445D"/>
    <w:rsid w:val="00634E70"/>
    <w:rsid w:val="00637758"/>
    <w:rsid w:val="006379FB"/>
    <w:rsid w:val="00637E45"/>
    <w:rsid w:val="0064071C"/>
    <w:rsid w:val="00643A2F"/>
    <w:rsid w:val="0065033A"/>
    <w:rsid w:val="006504BC"/>
    <w:rsid w:val="0065633B"/>
    <w:rsid w:val="00657979"/>
    <w:rsid w:val="0066043B"/>
    <w:rsid w:val="00660DA2"/>
    <w:rsid w:val="006615D1"/>
    <w:rsid w:val="00662E39"/>
    <w:rsid w:val="0066723E"/>
    <w:rsid w:val="006676E3"/>
    <w:rsid w:val="00671C1D"/>
    <w:rsid w:val="0067700F"/>
    <w:rsid w:val="006804FD"/>
    <w:rsid w:val="00682621"/>
    <w:rsid w:val="006833CD"/>
    <w:rsid w:val="0068448F"/>
    <w:rsid w:val="0068466C"/>
    <w:rsid w:val="0068495B"/>
    <w:rsid w:val="00685669"/>
    <w:rsid w:val="006879F7"/>
    <w:rsid w:val="00690BFE"/>
    <w:rsid w:val="00692240"/>
    <w:rsid w:val="00693925"/>
    <w:rsid w:val="00693B0A"/>
    <w:rsid w:val="00697F8A"/>
    <w:rsid w:val="006A3579"/>
    <w:rsid w:val="006A5F14"/>
    <w:rsid w:val="006A6909"/>
    <w:rsid w:val="006A6C3D"/>
    <w:rsid w:val="006A711C"/>
    <w:rsid w:val="006B16D3"/>
    <w:rsid w:val="006B16D8"/>
    <w:rsid w:val="006B2A9F"/>
    <w:rsid w:val="006B5304"/>
    <w:rsid w:val="006B5BA9"/>
    <w:rsid w:val="006B5EE9"/>
    <w:rsid w:val="006C05EC"/>
    <w:rsid w:val="006C4290"/>
    <w:rsid w:val="006C56AD"/>
    <w:rsid w:val="006C5D94"/>
    <w:rsid w:val="006D50C3"/>
    <w:rsid w:val="006E35DE"/>
    <w:rsid w:val="006E4952"/>
    <w:rsid w:val="006E4EB8"/>
    <w:rsid w:val="006E6300"/>
    <w:rsid w:val="006F2890"/>
    <w:rsid w:val="006F32B5"/>
    <w:rsid w:val="006F7E4D"/>
    <w:rsid w:val="007039BB"/>
    <w:rsid w:val="00706C6A"/>
    <w:rsid w:val="00707147"/>
    <w:rsid w:val="00707883"/>
    <w:rsid w:val="007119EE"/>
    <w:rsid w:val="00713389"/>
    <w:rsid w:val="0071463B"/>
    <w:rsid w:val="00716EBA"/>
    <w:rsid w:val="0072038D"/>
    <w:rsid w:val="00721C50"/>
    <w:rsid w:val="00723C66"/>
    <w:rsid w:val="00724828"/>
    <w:rsid w:val="00727243"/>
    <w:rsid w:val="007340FB"/>
    <w:rsid w:val="00736029"/>
    <w:rsid w:val="00736721"/>
    <w:rsid w:val="00736B7D"/>
    <w:rsid w:val="00737B8C"/>
    <w:rsid w:val="00743F5B"/>
    <w:rsid w:val="0074636D"/>
    <w:rsid w:val="00746D21"/>
    <w:rsid w:val="00746DAA"/>
    <w:rsid w:val="00753E70"/>
    <w:rsid w:val="007562B6"/>
    <w:rsid w:val="0075746A"/>
    <w:rsid w:val="00757782"/>
    <w:rsid w:val="00760EF6"/>
    <w:rsid w:val="0076123B"/>
    <w:rsid w:val="00761417"/>
    <w:rsid w:val="007673E2"/>
    <w:rsid w:val="007739C1"/>
    <w:rsid w:val="00775435"/>
    <w:rsid w:val="00775645"/>
    <w:rsid w:val="00776796"/>
    <w:rsid w:val="007776A0"/>
    <w:rsid w:val="0078060D"/>
    <w:rsid w:val="00782FD4"/>
    <w:rsid w:val="0078369F"/>
    <w:rsid w:val="00783E7C"/>
    <w:rsid w:val="00786899"/>
    <w:rsid w:val="00787872"/>
    <w:rsid w:val="0079026B"/>
    <w:rsid w:val="00792FE0"/>
    <w:rsid w:val="007959C2"/>
    <w:rsid w:val="00796BF3"/>
    <w:rsid w:val="007A30B0"/>
    <w:rsid w:val="007A4427"/>
    <w:rsid w:val="007A5905"/>
    <w:rsid w:val="007A6A2B"/>
    <w:rsid w:val="007A76BA"/>
    <w:rsid w:val="007B630E"/>
    <w:rsid w:val="007C1D8A"/>
    <w:rsid w:val="007C2E29"/>
    <w:rsid w:val="007C7C06"/>
    <w:rsid w:val="007D2E71"/>
    <w:rsid w:val="007D3A7E"/>
    <w:rsid w:val="007D5647"/>
    <w:rsid w:val="007D699B"/>
    <w:rsid w:val="007D6F4F"/>
    <w:rsid w:val="007E08B5"/>
    <w:rsid w:val="007E1978"/>
    <w:rsid w:val="007E3543"/>
    <w:rsid w:val="007E3B46"/>
    <w:rsid w:val="007E4EA8"/>
    <w:rsid w:val="007E5CEE"/>
    <w:rsid w:val="007F0224"/>
    <w:rsid w:val="007F5148"/>
    <w:rsid w:val="007F6B74"/>
    <w:rsid w:val="007F7396"/>
    <w:rsid w:val="00806D33"/>
    <w:rsid w:val="008070FF"/>
    <w:rsid w:val="00812C09"/>
    <w:rsid w:val="00813B37"/>
    <w:rsid w:val="00816FA4"/>
    <w:rsid w:val="008231CD"/>
    <w:rsid w:val="00823D4C"/>
    <w:rsid w:val="00824ED3"/>
    <w:rsid w:val="00825812"/>
    <w:rsid w:val="008270DB"/>
    <w:rsid w:val="00830ECB"/>
    <w:rsid w:val="00831571"/>
    <w:rsid w:val="00831ACA"/>
    <w:rsid w:val="00832EC9"/>
    <w:rsid w:val="008335A0"/>
    <w:rsid w:val="008354F1"/>
    <w:rsid w:val="0083706A"/>
    <w:rsid w:val="00843CC7"/>
    <w:rsid w:val="00843E28"/>
    <w:rsid w:val="00845FE9"/>
    <w:rsid w:val="00854AC6"/>
    <w:rsid w:val="0085586F"/>
    <w:rsid w:val="00860691"/>
    <w:rsid w:val="00864CE3"/>
    <w:rsid w:val="008658AA"/>
    <w:rsid w:val="00872D64"/>
    <w:rsid w:val="00872E13"/>
    <w:rsid w:val="00873A4D"/>
    <w:rsid w:val="00873F64"/>
    <w:rsid w:val="00874896"/>
    <w:rsid w:val="0088027B"/>
    <w:rsid w:val="00881779"/>
    <w:rsid w:val="008839EC"/>
    <w:rsid w:val="00886C2B"/>
    <w:rsid w:val="008A0717"/>
    <w:rsid w:val="008A0F51"/>
    <w:rsid w:val="008A3DF0"/>
    <w:rsid w:val="008A4387"/>
    <w:rsid w:val="008A4440"/>
    <w:rsid w:val="008A46A7"/>
    <w:rsid w:val="008A699D"/>
    <w:rsid w:val="008A754C"/>
    <w:rsid w:val="008B0DAB"/>
    <w:rsid w:val="008B13A2"/>
    <w:rsid w:val="008B3503"/>
    <w:rsid w:val="008B4278"/>
    <w:rsid w:val="008B569E"/>
    <w:rsid w:val="008B58C2"/>
    <w:rsid w:val="008C4527"/>
    <w:rsid w:val="008C718C"/>
    <w:rsid w:val="008C7B48"/>
    <w:rsid w:val="008D1233"/>
    <w:rsid w:val="008D70FB"/>
    <w:rsid w:val="008E2EA6"/>
    <w:rsid w:val="008E6EC5"/>
    <w:rsid w:val="008E7D4D"/>
    <w:rsid w:val="008F09EF"/>
    <w:rsid w:val="008F2A4E"/>
    <w:rsid w:val="008F3DDD"/>
    <w:rsid w:val="008F3EFC"/>
    <w:rsid w:val="008F47D2"/>
    <w:rsid w:val="008F6A2A"/>
    <w:rsid w:val="00904389"/>
    <w:rsid w:val="00904BF2"/>
    <w:rsid w:val="00905D80"/>
    <w:rsid w:val="00906D9E"/>
    <w:rsid w:val="00912126"/>
    <w:rsid w:val="00912A43"/>
    <w:rsid w:val="009131A9"/>
    <w:rsid w:val="009158C6"/>
    <w:rsid w:val="00915E2A"/>
    <w:rsid w:val="00921660"/>
    <w:rsid w:val="009220A5"/>
    <w:rsid w:val="009229D3"/>
    <w:rsid w:val="00922A7E"/>
    <w:rsid w:val="00922E6D"/>
    <w:rsid w:val="00923412"/>
    <w:rsid w:val="009240D4"/>
    <w:rsid w:val="0092457F"/>
    <w:rsid w:val="009246DA"/>
    <w:rsid w:val="00926ED2"/>
    <w:rsid w:val="00930A29"/>
    <w:rsid w:val="0093308D"/>
    <w:rsid w:val="0093349C"/>
    <w:rsid w:val="00936840"/>
    <w:rsid w:val="00941412"/>
    <w:rsid w:val="009428A5"/>
    <w:rsid w:val="00942CBD"/>
    <w:rsid w:val="009442FC"/>
    <w:rsid w:val="009452DF"/>
    <w:rsid w:val="00947035"/>
    <w:rsid w:val="00950BC2"/>
    <w:rsid w:val="00951C3F"/>
    <w:rsid w:val="00953081"/>
    <w:rsid w:val="00953507"/>
    <w:rsid w:val="00956972"/>
    <w:rsid w:val="009642B4"/>
    <w:rsid w:val="00964F6D"/>
    <w:rsid w:val="009667CF"/>
    <w:rsid w:val="0096740A"/>
    <w:rsid w:val="00974CBC"/>
    <w:rsid w:val="0097690C"/>
    <w:rsid w:val="009812EE"/>
    <w:rsid w:val="00981D92"/>
    <w:rsid w:val="00981E0D"/>
    <w:rsid w:val="00991A1E"/>
    <w:rsid w:val="00991D52"/>
    <w:rsid w:val="0099318E"/>
    <w:rsid w:val="009938DF"/>
    <w:rsid w:val="009967F3"/>
    <w:rsid w:val="00997EA8"/>
    <w:rsid w:val="009A3C81"/>
    <w:rsid w:val="009A44B8"/>
    <w:rsid w:val="009A6545"/>
    <w:rsid w:val="009A729A"/>
    <w:rsid w:val="009A7EFF"/>
    <w:rsid w:val="009B10AB"/>
    <w:rsid w:val="009C23DE"/>
    <w:rsid w:val="009C36C1"/>
    <w:rsid w:val="009C7030"/>
    <w:rsid w:val="009C7253"/>
    <w:rsid w:val="009D04DA"/>
    <w:rsid w:val="009D4B8C"/>
    <w:rsid w:val="009D52C4"/>
    <w:rsid w:val="009E143F"/>
    <w:rsid w:val="009E2201"/>
    <w:rsid w:val="009E2E89"/>
    <w:rsid w:val="009E6308"/>
    <w:rsid w:val="009F6481"/>
    <w:rsid w:val="00A0104C"/>
    <w:rsid w:val="00A03530"/>
    <w:rsid w:val="00A03E64"/>
    <w:rsid w:val="00A03F13"/>
    <w:rsid w:val="00A04A4F"/>
    <w:rsid w:val="00A06E49"/>
    <w:rsid w:val="00A07585"/>
    <w:rsid w:val="00A111E9"/>
    <w:rsid w:val="00A11554"/>
    <w:rsid w:val="00A12E30"/>
    <w:rsid w:val="00A138FF"/>
    <w:rsid w:val="00A20B11"/>
    <w:rsid w:val="00A229E8"/>
    <w:rsid w:val="00A26012"/>
    <w:rsid w:val="00A27BEE"/>
    <w:rsid w:val="00A30A68"/>
    <w:rsid w:val="00A32B11"/>
    <w:rsid w:val="00A32DCA"/>
    <w:rsid w:val="00A34FAA"/>
    <w:rsid w:val="00A35354"/>
    <w:rsid w:val="00A36F37"/>
    <w:rsid w:val="00A36F60"/>
    <w:rsid w:val="00A41318"/>
    <w:rsid w:val="00A4589D"/>
    <w:rsid w:val="00A5277C"/>
    <w:rsid w:val="00A52F82"/>
    <w:rsid w:val="00A54E22"/>
    <w:rsid w:val="00A5593E"/>
    <w:rsid w:val="00A569E2"/>
    <w:rsid w:val="00A614DA"/>
    <w:rsid w:val="00A61A9A"/>
    <w:rsid w:val="00A66D91"/>
    <w:rsid w:val="00A70F95"/>
    <w:rsid w:val="00A71481"/>
    <w:rsid w:val="00A7195A"/>
    <w:rsid w:val="00A727FC"/>
    <w:rsid w:val="00A73CE2"/>
    <w:rsid w:val="00A815A7"/>
    <w:rsid w:val="00A859B4"/>
    <w:rsid w:val="00A86591"/>
    <w:rsid w:val="00A9444A"/>
    <w:rsid w:val="00A94DD6"/>
    <w:rsid w:val="00A95F9E"/>
    <w:rsid w:val="00A967B1"/>
    <w:rsid w:val="00AA03B9"/>
    <w:rsid w:val="00AA0EA3"/>
    <w:rsid w:val="00AA1889"/>
    <w:rsid w:val="00AA33E5"/>
    <w:rsid w:val="00AA3451"/>
    <w:rsid w:val="00AA58FD"/>
    <w:rsid w:val="00AA62EE"/>
    <w:rsid w:val="00AB4252"/>
    <w:rsid w:val="00AB7040"/>
    <w:rsid w:val="00AB7414"/>
    <w:rsid w:val="00AC1929"/>
    <w:rsid w:val="00AC2E6A"/>
    <w:rsid w:val="00AC7236"/>
    <w:rsid w:val="00AD1899"/>
    <w:rsid w:val="00AD3B2F"/>
    <w:rsid w:val="00AD45AD"/>
    <w:rsid w:val="00AD5724"/>
    <w:rsid w:val="00AD77B0"/>
    <w:rsid w:val="00AE1A8F"/>
    <w:rsid w:val="00AE5C34"/>
    <w:rsid w:val="00AE705F"/>
    <w:rsid w:val="00AF2AD2"/>
    <w:rsid w:val="00AF3927"/>
    <w:rsid w:val="00B06D45"/>
    <w:rsid w:val="00B07A4A"/>
    <w:rsid w:val="00B07F0A"/>
    <w:rsid w:val="00B10FB6"/>
    <w:rsid w:val="00B13106"/>
    <w:rsid w:val="00B16C3A"/>
    <w:rsid w:val="00B17715"/>
    <w:rsid w:val="00B213DF"/>
    <w:rsid w:val="00B2169C"/>
    <w:rsid w:val="00B22C39"/>
    <w:rsid w:val="00B23B85"/>
    <w:rsid w:val="00B24BC2"/>
    <w:rsid w:val="00B25464"/>
    <w:rsid w:val="00B26A08"/>
    <w:rsid w:val="00B30201"/>
    <w:rsid w:val="00B3302F"/>
    <w:rsid w:val="00B33B9B"/>
    <w:rsid w:val="00B33C0C"/>
    <w:rsid w:val="00B340AC"/>
    <w:rsid w:val="00B37E69"/>
    <w:rsid w:val="00B40253"/>
    <w:rsid w:val="00B42577"/>
    <w:rsid w:val="00B537D5"/>
    <w:rsid w:val="00B62594"/>
    <w:rsid w:val="00B63D17"/>
    <w:rsid w:val="00B64402"/>
    <w:rsid w:val="00B6650E"/>
    <w:rsid w:val="00B73952"/>
    <w:rsid w:val="00B83664"/>
    <w:rsid w:val="00B92188"/>
    <w:rsid w:val="00B92492"/>
    <w:rsid w:val="00B964C4"/>
    <w:rsid w:val="00B97E44"/>
    <w:rsid w:val="00BA6F71"/>
    <w:rsid w:val="00BB025C"/>
    <w:rsid w:val="00BB2894"/>
    <w:rsid w:val="00BB2D8B"/>
    <w:rsid w:val="00BB49D5"/>
    <w:rsid w:val="00BC2652"/>
    <w:rsid w:val="00BC2CB6"/>
    <w:rsid w:val="00BC4EBC"/>
    <w:rsid w:val="00BC583F"/>
    <w:rsid w:val="00BD4DBB"/>
    <w:rsid w:val="00BD5296"/>
    <w:rsid w:val="00BD65CC"/>
    <w:rsid w:val="00BE40ED"/>
    <w:rsid w:val="00BE6B95"/>
    <w:rsid w:val="00BE7FE7"/>
    <w:rsid w:val="00BF4269"/>
    <w:rsid w:val="00BF4FCD"/>
    <w:rsid w:val="00BF78AC"/>
    <w:rsid w:val="00C0199A"/>
    <w:rsid w:val="00C027A9"/>
    <w:rsid w:val="00C03CD6"/>
    <w:rsid w:val="00C06520"/>
    <w:rsid w:val="00C07B24"/>
    <w:rsid w:val="00C1066F"/>
    <w:rsid w:val="00C16D65"/>
    <w:rsid w:val="00C1751C"/>
    <w:rsid w:val="00C2202E"/>
    <w:rsid w:val="00C24432"/>
    <w:rsid w:val="00C33E38"/>
    <w:rsid w:val="00C35CA2"/>
    <w:rsid w:val="00C40402"/>
    <w:rsid w:val="00C44A81"/>
    <w:rsid w:val="00C47321"/>
    <w:rsid w:val="00C5042E"/>
    <w:rsid w:val="00C51B21"/>
    <w:rsid w:val="00C5226D"/>
    <w:rsid w:val="00C552C8"/>
    <w:rsid w:val="00C56081"/>
    <w:rsid w:val="00C60E0C"/>
    <w:rsid w:val="00C65B6C"/>
    <w:rsid w:val="00C75801"/>
    <w:rsid w:val="00C76569"/>
    <w:rsid w:val="00C80A85"/>
    <w:rsid w:val="00C820AF"/>
    <w:rsid w:val="00C91722"/>
    <w:rsid w:val="00C91F46"/>
    <w:rsid w:val="00C96ABA"/>
    <w:rsid w:val="00CA4256"/>
    <w:rsid w:val="00CB0123"/>
    <w:rsid w:val="00CC1436"/>
    <w:rsid w:val="00CC6244"/>
    <w:rsid w:val="00CD21B4"/>
    <w:rsid w:val="00CD6789"/>
    <w:rsid w:val="00CE49F5"/>
    <w:rsid w:val="00CE5943"/>
    <w:rsid w:val="00CE63D8"/>
    <w:rsid w:val="00CF1BBD"/>
    <w:rsid w:val="00CF66A6"/>
    <w:rsid w:val="00CF6D36"/>
    <w:rsid w:val="00D00A69"/>
    <w:rsid w:val="00D03400"/>
    <w:rsid w:val="00D03DFE"/>
    <w:rsid w:val="00D064D5"/>
    <w:rsid w:val="00D11CD3"/>
    <w:rsid w:val="00D13D3E"/>
    <w:rsid w:val="00D151F1"/>
    <w:rsid w:val="00D15B66"/>
    <w:rsid w:val="00D16B6B"/>
    <w:rsid w:val="00D24285"/>
    <w:rsid w:val="00D3041D"/>
    <w:rsid w:val="00D30734"/>
    <w:rsid w:val="00D30B55"/>
    <w:rsid w:val="00D30D05"/>
    <w:rsid w:val="00D30DE4"/>
    <w:rsid w:val="00D36877"/>
    <w:rsid w:val="00D40275"/>
    <w:rsid w:val="00D407BA"/>
    <w:rsid w:val="00D43C93"/>
    <w:rsid w:val="00D45380"/>
    <w:rsid w:val="00D4734B"/>
    <w:rsid w:val="00D53CDB"/>
    <w:rsid w:val="00D55058"/>
    <w:rsid w:val="00D57A49"/>
    <w:rsid w:val="00D60DAB"/>
    <w:rsid w:val="00D631D0"/>
    <w:rsid w:val="00D6755A"/>
    <w:rsid w:val="00D720E5"/>
    <w:rsid w:val="00D74BE2"/>
    <w:rsid w:val="00D766DF"/>
    <w:rsid w:val="00D76A46"/>
    <w:rsid w:val="00D825BA"/>
    <w:rsid w:val="00D83374"/>
    <w:rsid w:val="00D841A2"/>
    <w:rsid w:val="00D85EA6"/>
    <w:rsid w:val="00D86651"/>
    <w:rsid w:val="00D875B7"/>
    <w:rsid w:val="00D90906"/>
    <w:rsid w:val="00D927A4"/>
    <w:rsid w:val="00D937BF"/>
    <w:rsid w:val="00D94AB4"/>
    <w:rsid w:val="00DA1D64"/>
    <w:rsid w:val="00DA1F32"/>
    <w:rsid w:val="00DA482A"/>
    <w:rsid w:val="00DA5647"/>
    <w:rsid w:val="00DB4530"/>
    <w:rsid w:val="00DB5900"/>
    <w:rsid w:val="00DB68BC"/>
    <w:rsid w:val="00DC1D86"/>
    <w:rsid w:val="00DC1E93"/>
    <w:rsid w:val="00DC1FA6"/>
    <w:rsid w:val="00DC300B"/>
    <w:rsid w:val="00DC343D"/>
    <w:rsid w:val="00DC7D10"/>
    <w:rsid w:val="00DC7F80"/>
    <w:rsid w:val="00DD1D4B"/>
    <w:rsid w:val="00DD1DA7"/>
    <w:rsid w:val="00DD21A4"/>
    <w:rsid w:val="00DD254D"/>
    <w:rsid w:val="00DD26B3"/>
    <w:rsid w:val="00DD357D"/>
    <w:rsid w:val="00DD44D1"/>
    <w:rsid w:val="00DD4F00"/>
    <w:rsid w:val="00DE0979"/>
    <w:rsid w:val="00DE335E"/>
    <w:rsid w:val="00DF265E"/>
    <w:rsid w:val="00DF40F2"/>
    <w:rsid w:val="00DF4520"/>
    <w:rsid w:val="00DF67A7"/>
    <w:rsid w:val="00DF6D7E"/>
    <w:rsid w:val="00E046CD"/>
    <w:rsid w:val="00E05669"/>
    <w:rsid w:val="00E075A7"/>
    <w:rsid w:val="00E1167C"/>
    <w:rsid w:val="00E137F7"/>
    <w:rsid w:val="00E162FF"/>
    <w:rsid w:val="00E218E4"/>
    <w:rsid w:val="00E22527"/>
    <w:rsid w:val="00E22813"/>
    <w:rsid w:val="00E24936"/>
    <w:rsid w:val="00E35A6B"/>
    <w:rsid w:val="00E401C5"/>
    <w:rsid w:val="00E413F6"/>
    <w:rsid w:val="00E428AE"/>
    <w:rsid w:val="00E45517"/>
    <w:rsid w:val="00E46A77"/>
    <w:rsid w:val="00E47038"/>
    <w:rsid w:val="00E47FA2"/>
    <w:rsid w:val="00E5005C"/>
    <w:rsid w:val="00E52FA8"/>
    <w:rsid w:val="00E54ED1"/>
    <w:rsid w:val="00E55371"/>
    <w:rsid w:val="00E575F5"/>
    <w:rsid w:val="00E60656"/>
    <w:rsid w:val="00E6224C"/>
    <w:rsid w:val="00E62347"/>
    <w:rsid w:val="00E63ECB"/>
    <w:rsid w:val="00E66278"/>
    <w:rsid w:val="00E72D0A"/>
    <w:rsid w:val="00E742F5"/>
    <w:rsid w:val="00E84124"/>
    <w:rsid w:val="00E84AA1"/>
    <w:rsid w:val="00E90F95"/>
    <w:rsid w:val="00E91EAB"/>
    <w:rsid w:val="00E95E86"/>
    <w:rsid w:val="00E96057"/>
    <w:rsid w:val="00EA2D9C"/>
    <w:rsid w:val="00EB5162"/>
    <w:rsid w:val="00EB651E"/>
    <w:rsid w:val="00EB6775"/>
    <w:rsid w:val="00EC6D02"/>
    <w:rsid w:val="00ED2CC7"/>
    <w:rsid w:val="00ED45A1"/>
    <w:rsid w:val="00EE13EA"/>
    <w:rsid w:val="00EE394B"/>
    <w:rsid w:val="00EF08B4"/>
    <w:rsid w:val="00EF09E5"/>
    <w:rsid w:val="00EF6D2A"/>
    <w:rsid w:val="00EF751E"/>
    <w:rsid w:val="00F002D4"/>
    <w:rsid w:val="00F01A9B"/>
    <w:rsid w:val="00F061BD"/>
    <w:rsid w:val="00F06436"/>
    <w:rsid w:val="00F06E99"/>
    <w:rsid w:val="00F07DF5"/>
    <w:rsid w:val="00F11088"/>
    <w:rsid w:val="00F11488"/>
    <w:rsid w:val="00F14E5C"/>
    <w:rsid w:val="00F21F8F"/>
    <w:rsid w:val="00F3277A"/>
    <w:rsid w:val="00F342EF"/>
    <w:rsid w:val="00F34C9A"/>
    <w:rsid w:val="00F4346C"/>
    <w:rsid w:val="00F4405C"/>
    <w:rsid w:val="00F50023"/>
    <w:rsid w:val="00F50408"/>
    <w:rsid w:val="00F51445"/>
    <w:rsid w:val="00F53805"/>
    <w:rsid w:val="00F5630E"/>
    <w:rsid w:val="00F61407"/>
    <w:rsid w:val="00F62A3B"/>
    <w:rsid w:val="00F62B1E"/>
    <w:rsid w:val="00F62C83"/>
    <w:rsid w:val="00F63DBA"/>
    <w:rsid w:val="00F64B00"/>
    <w:rsid w:val="00F67C3F"/>
    <w:rsid w:val="00F702FA"/>
    <w:rsid w:val="00F75761"/>
    <w:rsid w:val="00F75886"/>
    <w:rsid w:val="00F769C1"/>
    <w:rsid w:val="00F81CB3"/>
    <w:rsid w:val="00F82BC8"/>
    <w:rsid w:val="00F900B9"/>
    <w:rsid w:val="00F90115"/>
    <w:rsid w:val="00F90922"/>
    <w:rsid w:val="00F938E0"/>
    <w:rsid w:val="00F948AF"/>
    <w:rsid w:val="00F971A6"/>
    <w:rsid w:val="00FA15B0"/>
    <w:rsid w:val="00FA2229"/>
    <w:rsid w:val="00FA2433"/>
    <w:rsid w:val="00FA26B3"/>
    <w:rsid w:val="00FA3398"/>
    <w:rsid w:val="00FA361C"/>
    <w:rsid w:val="00FB10B1"/>
    <w:rsid w:val="00FB246E"/>
    <w:rsid w:val="00FB4700"/>
    <w:rsid w:val="00FC01D0"/>
    <w:rsid w:val="00FC12CC"/>
    <w:rsid w:val="00FC241B"/>
    <w:rsid w:val="00FC383C"/>
    <w:rsid w:val="00FC4C7A"/>
    <w:rsid w:val="00FC584A"/>
    <w:rsid w:val="00FD09EE"/>
    <w:rsid w:val="00FD0AA8"/>
    <w:rsid w:val="00FD13D2"/>
    <w:rsid w:val="00FD1DAA"/>
    <w:rsid w:val="00FD3B73"/>
    <w:rsid w:val="00FD7645"/>
    <w:rsid w:val="00FE3308"/>
    <w:rsid w:val="00FE5EA6"/>
    <w:rsid w:val="00FE73E1"/>
    <w:rsid w:val="00FF07EB"/>
    <w:rsid w:val="00FF48B2"/>
    <w:rsid w:val="00FF565A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36DCD"/>
    <w:rPr>
      <w:rFonts w:ascii="Book Antiqua" w:hAnsi="Book Antiqua"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36DCD"/>
    <w:rPr>
      <w:rFonts w:cs="Times New Roman"/>
      <w:color w:val="0000FF"/>
      <w:u w:val="single"/>
    </w:rPr>
  </w:style>
  <w:style w:type="paragraph" w:customStyle="1" w:styleId="Anrede">
    <w:name w:val="_Anrede"/>
    <w:basedOn w:val="Text"/>
    <w:rsid w:val="00336DCD"/>
    <w:pPr>
      <w:spacing w:after="0"/>
    </w:pPr>
  </w:style>
  <w:style w:type="paragraph" w:customStyle="1" w:styleId="Text">
    <w:name w:val="Text"/>
    <w:basedOn w:val="Standard"/>
    <w:rsid w:val="00336DCD"/>
    <w:pPr>
      <w:spacing w:after="280"/>
    </w:pPr>
    <w:rPr>
      <w:sz w:val="22"/>
    </w:rPr>
  </w:style>
  <w:style w:type="paragraph" w:customStyle="1" w:styleId="Betreff">
    <w:name w:val="Betreff"/>
    <w:basedOn w:val="Text"/>
    <w:rsid w:val="00336DCD"/>
    <w:pPr>
      <w:spacing w:after="0"/>
    </w:pPr>
    <w:rPr>
      <w:b/>
    </w:rPr>
  </w:style>
  <w:style w:type="paragraph" w:customStyle="1" w:styleId="KontaktBezeichner">
    <w:name w:val="KontaktBezeichner"/>
    <w:basedOn w:val="Text"/>
    <w:rsid w:val="00336DCD"/>
    <w:pPr>
      <w:spacing w:after="0"/>
    </w:pPr>
    <w:rPr>
      <w:sz w:val="16"/>
    </w:rPr>
  </w:style>
  <w:style w:type="paragraph" w:customStyle="1" w:styleId="Absenderadresse">
    <w:name w:val="Absenderadresse"/>
    <w:basedOn w:val="Text"/>
    <w:rsid w:val="00336DCD"/>
    <w:pPr>
      <w:spacing w:after="0"/>
    </w:pPr>
    <w:rPr>
      <w:sz w:val="12"/>
    </w:rPr>
  </w:style>
  <w:style w:type="paragraph" w:customStyle="1" w:styleId="Textabsatzlos">
    <w:name w:val="Text (absatzlos)"/>
    <w:basedOn w:val="Text"/>
    <w:rsid w:val="00336DCD"/>
    <w:pPr>
      <w:spacing w:after="0"/>
    </w:pPr>
  </w:style>
  <w:style w:type="paragraph" w:styleId="Kopfzeile">
    <w:name w:val="header"/>
    <w:basedOn w:val="Standard"/>
    <w:link w:val="KopfzeileZchn"/>
    <w:rsid w:val="00336D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ED2CC7"/>
    <w:rPr>
      <w:rFonts w:ascii="Book Antiqua" w:hAnsi="Book Antiqua"/>
      <w:sz w:val="24"/>
    </w:rPr>
  </w:style>
  <w:style w:type="paragraph" w:styleId="Fuzeile">
    <w:name w:val="footer"/>
    <w:basedOn w:val="Standard"/>
    <w:link w:val="FuzeileZchn"/>
    <w:rsid w:val="00336D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ED2CC7"/>
    <w:rPr>
      <w:rFonts w:ascii="Book Antiqua" w:hAnsi="Book Antiqua"/>
      <w:sz w:val="24"/>
    </w:rPr>
  </w:style>
  <w:style w:type="table" w:customStyle="1" w:styleId="Tabellengitternetz1">
    <w:name w:val="Tabellengitternetz1"/>
    <w:basedOn w:val="NormaleTabelle"/>
    <w:rsid w:val="00336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36DCD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ED2C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B92492"/>
    <w:rPr>
      <w:rFonts w:ascii="Arial" w:hAnsi="Arial" w:cs="Arial"/>
      <w:color w:val="666666"/>
      <w:sz w:val="12"/>
      <w:szCs w:val="12"/>
    </w:rPr>
  </w:style>
  <w:style w:type="table" w:styleId="Tabellenraster">
    <w:name w:val="Table Grid"/>
    <w:basedOn w:val="NormaleTabelle"/>
    <w:rsid w:val="00A03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Einfach1">
    <w:name w:val="Table Simple 1"/>
    <w:basedOn w:val="NormaleTabelle"/>
    <w:rsid w:val="00A03F1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A03F1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BesuchterHyperlink">
    <w:name w:val="FollowedHyperlink"/>
    <w:basedOn w:val="Absatz-Standardschriftart"/>
    <w:rsid w:val="003D0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36DCD"/>
    <w:rPr>
      <w:rFonts w:ascii="Book Antiqua" w:hAnsi="Book Antiqu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36DCD"/>
    <w:rPr>
      <w:rFonts w:cs="Times New Roman"/>
      <w:color w:val="0000FF"/>
      <w:u w:val="single"/>
    </w:rPr>
  </w:style>
  <w:style w:type="paragraph" w:customStyle="1" w:styleId="Anrede">
    <w:name w:val="_Anrede"/>
    <w:basedOn w:val="Text"/>
    <w:rsid w:val="00336DCD"/>
    <w:pPr>
      <w:spacing w:after="0"/>
    </w:pPr>
  </w:style>
  <w:style w:type="paragraph" w:customStyle="1" w:styleId="Text">
    <w:name w:val="Text"/>
    <w:basedOn w:val="Standard"/>
    <w:rsid w:val="00336DCD"/>
    <w:pPr>
      <w:spacing w:after="280"/>
    </w:pPr>
    <w:rPr>
      <w:sz w:val="22"/>
    </w:rPr>
  </w:style>
  <w:style w:type="paragraph" w:customStyle="1" w:styleId="Betreff">
    <w:name w:val="Betreff"/>
    <w:basedOn w:val="Text"/>
    <w:rsid w:val="00336DCD"/>
    <w:pPr>
      <w:spacing w:after="0"/>
    </w:pPr>
    <w:rPr>
      <w:b/>
    </w:rPr>
  </w:style>
  <w:style w:type="paragraph" w:customStyle="1" w:styleId="KontaktBezeichner">
    <w:name w:val="KontaktBezeichner"/>
    <w:basedOn w:val="Text"/>
    <w:rsid w:val="00336DCD"/>
    <w:pPr>
      <w:spacing w:after="0"/>
    </w:pPr>
    <w:rPr>
      <w:sz w:val="16"/>
    </w:rPr>
  </w:style>
  <w:style w:type="paragraph" w:customStyle="1" w:styleId="Absenderadresse">
    <w:name w:val="Absenderadresse"/>
    <w:basedOn w:val="Text"/>
    <w:rsid w:val="00336DCD"/>
    <w:pPr>
      <w:spacing w:after="0"/>
    </w:pPr>
    <w:rPr>
      <w:sz w:val="12"/>
    </w:rPr>
  </w:style>
  <w:style w:type="paragraph" w:customStyle="1" w:styleId="Textabsatzlos">
    <w:name w:val="Text (absatzlos)"/>
    <w:basedOn w:val="Text"/>
    <w:rsid w:val="00336DCD"/>
    <w:pPr>
      <w:spacing w:after="0"/>
    </w:pPr>
  </w:style>
  <w:style w:type="paragraph" w:styleId="Kopfzeile">
    <w:name w:val="header"/>
    <w:basedOn w:val="Standard"/>
    <w:link w:val="KopfzeileZchn"/>
    <w:rsid w:val="00336DC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rsid w:val="00ED2CC7"/>
    <w:rPr>
      <w:rFonts w:ascii="Book Antiqua" w:hAnsi="Book Antiqua"/>
      <w:sz w:val="24"/>
    </w:rPr>
  </w:style>
  <w:style w:type="paragraph" w:styleId="Fuzeile">
    <w:name w:val="footer"/>
    <w:basedOn w:val="Standard"/>
    <w:link w:val="FuzeileZchn"/>
    <w:rsid w:val="00336DC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rsid w:val="00ED2CC7"/>
    <w:rPr>
      <w:rFonts w:ascii="Book Antiqua" w:hAnsi="Book Antiqua"/>
      <w:sz w:val="24"/>
    </w:rPr>
  </w:style>
  <w:style w:type="table" w:customStyle="1" w:styleId="Tabellengitternetz1">
    <w:name w:val="Tabellengitternetz"/>
    <w:basedOn w:val="NormaleTabelle"/>
    <w:rsid w:val="00336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36DCD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ED2C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B92492"/>
    <w:rPr>
      <w:rFonts w:ascii="Arial" w:hAnsi="Arial" w:cs="Arial"/>
      <w:color w:val="666666"/>
      <w:sz w:val="12"/>
      <w:szCs w:val="12"/>
    </w:rPr>
  </w:style>
  <w:style w:type="table" w:styleId="Tabellenraster">
    <w:name w:val="Table Grid"/>
    <w:basedOn w:val="NormaleTabelle"/>
    <w:rsid w:val="00A03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Einfach1">
    <w:name w:val="Table Simple 1"/>
    <w:basedOn w:val="NormaleTabelle"/>
    <w:rsid w:val="00A03F1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A03F1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BesuchterHyperlink">
    <w:name w:val="FollowedHyperlink"/>
    <w:basedOn w:val="Absatz-Standardschriftart"/>
    <w:rsid w:val="003D0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3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8957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3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3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63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63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2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39EDD-4A8B-4D3A-9A24-3E6C2A3A2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6300</Characters>
  <Application>Microsoft Office Word</Application>
  <DocSecurity>0</DocSecurity>
  <Lines>84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LinksUpToDate>false</LinksUpToDate>
  <CharactersWithSpaces>6963</CharactersWithSpaces>
  <SharedDoc>false</SharedDoc>
  <HLinks>
    <vt:vector size="12" baseType="variant">
      <vt:variant>
        <vt:i4>655437</vt:i4>
      </vt:variant>
      <vt:variant>
        <vt:i4>3</vt:i4>
      </vt:variant>
      <vt:variant>
        <vt:i4>0</vt:i4>
      </vt:variant>
      <vt:variant>
        <vt:i4>5</vt:i4>
      </vt:variant>
      <vt:variant>
        <vt:lpwstr>http://www.leasingverband.de/</vt:lpwstr>
      </vt:variant>
      <vt:variant>
        <vt:lpwstr/>
      </vt:variant>
      <vt:variant>
        <vt:i4>2752513</vt:i4>
      </vt:variant>
      <vt:variant>
        <vt:i4>0</vt:i4>
      </vt:variant>
      <vt:variant>
        <vt:i4>0</vt:i4>
      </vt:variant>
      <vt:variant>
        <vt:i4>5</vt:i4>
      </vt:variant>
      <vt:variant>
        <vt:lpwstr>mailto:schur@leasingverband.de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/>
  <cp:lastModifiedBy/>
  <cp:revision>1</cp:revision>
  <cp:lastPrinted>2008-11-17T11:35:00Z</cp:lastPrinted>
  <dcterms:created xsi:type="dcterms:W3CDTF">2018-11-23T12:49:00Z</dcterms:created>
  <dcterms:modified xsi:type="dcterms:W3CDTF">2018-11-23T13:01:00Z</dcterms:modified>
</cp:coreProperties>
</file>